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45f9" w14:textId="08a4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Балкантауского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17 октября 2022 года № VII-26/201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Балкантауского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Балкантауского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Балкантауского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Балкантауского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Карабулак, села Айнабулак Балкантауского сельского округа Каркаралинского района Карагандинской области (далее- Балкантауский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Балкантауского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Балкантауского сельского округа для участия в сходе местного сообщества в количестве не более двух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Балкантауского сельского округа Каркаралинского района Карагандинской области (далее-аким Балкантауского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Балкантауского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Балкантауского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Балкантауского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Балкантауском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Балкантауского сельского округа или уполномоченным им лицом. Председателем раздельного схода местного сообщества является аким Балкантауского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улицы Балкантауского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Балкантауского сельского округа.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- 26/201</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Карабулак, села Айнабулак Балкантауского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Карабулак, села Айнабулак Балкантауского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К.Аманжолова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С.Сейфуллина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Б.Момышұлы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Айнабулак, улица Айнабулак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