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cb8" w14:textId="2ef2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Бухар-Жырауского районного маслихата от 28 декабря 2021 года № 7 "О бюджетах сел, поселков и сельских округов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мая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Бухар-Жырауского районного маслихата от 28 декабря 2021 года №7 "О бюджетах сел, поселков и сельских округов района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320 290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295 140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325 103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4 813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129 917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160 596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145 526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162 005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241 601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137 211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104 390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244 627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4 879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153 033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24 940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657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127 436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154 578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43 260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92 754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10 045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6 300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76 409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94 500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72 102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2 854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69 248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72 994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76 357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5 150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71 207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77 494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71 128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3 846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67 282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71 796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94 969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88 339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95 169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138 822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24 645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1 402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112 602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142 144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60 690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59 174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61 567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32 810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1 725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31 085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32 811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42 416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1 366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41 050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43 496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28 098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37 163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1 098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36 065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37 294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32 002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49 490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47 190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49 819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42 118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1 121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40 997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42 601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23 649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58 143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56 822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58 143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35 467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69 097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67 528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69 260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76 015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3 007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73 008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76 213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81 759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4 678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77 081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83 006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61 563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2 372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58 831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61 659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70 359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7 563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60 896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62 775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2 833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59 942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63 030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45 846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1 203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44 643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45 846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61 322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2 879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58 443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61 324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38 941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45 013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43 305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749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78 566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8 202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70 364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79 111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60 954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42 510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18 444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62 714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тысяч тенге.";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2022 года.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2022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2022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