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9a06" w14:textId="e039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Кербулакского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Кербулакского районного маслихата Алматинской области от 28 января 2022 года № 17-90. Утратило силу решением Кербулакского районного маслихата области Жетісу от 17 января 2023 года № 31-185</w:t>
      </w:r>
    </w:p>
    <w:p>
      <w:pPr>
        <w:spacing w:after="0"/>
        <w:ind w:left="0"/>
        <w:jc w:val="both"/>
      </w:pPr>
      <w:bookmarkStart w:name="z7" w:id="0"/>
      <w:r>
        <w:rPr>
          <w:rFonts w:ascii="Times New Roman"/>
          <w:b w:val="false"/>
          <w:i w:val="false"/>
          <w:color w:val="ff0000"/>
          <w:sz w:val="28"/>
        </w:rPr>
        <w:t xml:space="preserve">
      Сноска. Утратило силу решением Кербулакского районного маслихата области Жетісу от 17.01.2023 </w:t>
      </w:r>
      <w:r>
        <w:rPr>
          <w:rFonts w:ascii="Times New Roman"/>
          <w:b w:val="false"/>
          <w:i w:val="false"/>
          <w:color w:val="ff0000"/>
          <w:sz w:val="28"/>
        </w:rPr>
        <w:t>№ 31-185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 704 "Об утверждении Типового регламента маслихата" Кербулакский районный маслихат РЕШИЛ :</w:t>
      </w:r>
    </w:p>
    <w:bookmarkStart w:name="z8" w:id="1"/>
    <w:p>
      <w:pPr>
        <w:spacing w:after="0"/>
        <w:ind w:left="0"/>
        <w:jc w:val="both"/>
      </w:pPr>
      <w:r>
        <w:rPr>
          <w:rFonts w:ascii="Times New Roman"/>
          <w:b w:val="false"/>
          <w:i w:val="false"/>
          <w:color w:val="000000"/>
          <w:sz w:val="28"/>
        </w:rPr>
        <w:t xml:space="preserve">
      1. Утвердить Регламент Кербулакского районного маслихата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 силу решение Кербулакского районного маслихата от 27 июля 2021 года № 09-45 "Об утверждении Регламента Кербулакского районного маслихата".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районного маслихата Ракимбекову Гулмиру Абдигалиевну.</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Кербулакского районного маслихата № 17-90 от 28 января 2022 года</w:t>
            </w:r>
          </w:p>
        </w:tc>
      </w:tr>
    </w:tbl>
    <w:bookmarkStart w:name="z13" w:id="4"/>
    <w:p>
      <w:pPr>
        <w:spacing w:after="0"/>
        <w:ind w:left="0"/>
        <w:jc w:val="left"/>
      </w:pPr>
      <w:r>
        <w:rPr>
          <w:rFonts w:ascii="Times New Roman"/>
          <w:b/>
          <w:i w:val="false"/>
          <w:color w:val="000000"/>
        </w:rPr>
        <w:t xml:space="preserve"> Типовой регламент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регламентКербулакского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49" w:id="40"/>
    <w:p>
      <w:pPr>
        <w:spacing w:after="0"/>
        <w:ind w:left="0"/>
        <w:jc w:val="both"/>
      </w:pPr>
      <w:r>
        <w:rPr>
          <w:rFonts w:ascii="Times New Roman"/>
          <w:b w:val="false"/>
          <w:i w:val="false"/>
          <w:color w:val="000000"/>
          <w:sz w:val="28"/>
        </w:rPr>
        <w:t>
      14. По вопросам , относящимся к ведению маслихата, на сессии маслихата приглашаются акимы районов и сельских округов, руководители и иные должностные лица организаций, работа которых рассматривается на сессии. Допускается присутствие на сессии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и сельских округов.</w:t>
      </w:r>
    </w:p>
    <w:bookmarkEnd w:id="76"/>
    <w:bookmarkStart w:name="z86"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 .</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8"/>
    <w:bookmarkStart w:name="z108" w:id="9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3"/>
    <w:bookmarkStart w:name="z113"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Секретарь маслихата</w:t>
      </w:r>
    </w:p>
    <w:bookmarkEnd w:id="118"/>
    <w:bookmarkStart w:name="z128"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02"/>
    <w:bookmarkStart w:name="z212" w:id="203"/>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03"/>
    <w:bookmarkStart w:name="z213" w:id="204"/>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4"/>
    <w:bookmarkStart w:name="z214" w:id="205"/>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законодательством Республики Казахстан. </w:t>
      </w:r>
    </w:p>
    <w:bookmarkEnd w:id="205"/>
    <w:bookmarkStart w:name="z215" w:id="206"/>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