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7f72" w14:textId="df87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Уилском районе</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19 апреля 2022 года № 62</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Уилского района ПОСТАНОВИЛ: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Уилском районе.</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Уилского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19 апреля 2022 года № 62</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Уилском районе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Уилского района Актюбинской области от 28.11.2023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Уилском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22)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подготавливает проекты договоров с поставщиками коммунальных услуг (на каждый вид услуг) для последующего подписания и заключения их с собственниками квартир и нежилых помещений.</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либо временной управляющей компанией на содержание общего имущества объекта кондоминиума.</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твердых бытовых отходов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 местным исполнительным органам.</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частично или полностью прекращает предоставления услуг в случае неоплаты за коммунальные услуги потребителем в установленные сроки в полном обьеме по договору.</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 или по единому платежному документу по форме согласно приложению к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5285).</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либо всеми собственниками квартир, нежилых помещений, при непосредственном совместном управлении.</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