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a8bf" w14:textId="e1da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Кобдинского района Актюбинской области от 11 мая 2022 года № 158 "Об утверждении правил расчета норм образования и накопления коммунальных отходов по Кобдинскому району"</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14 июня 2022 года № 191</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2" w:id="0"/>
    <w:p>
      <w:pPr>
        <w:spacing w:after="0"/>
        <w:ind w:left="0"/>
        <w:jc w:val="both"/>
      </w:pPr>
      <w:r>
        <w:rPr>
          <w:rFonts w:ascii="Times New Roman"/>
          <w:b w:val="false"/>
          <w:i w:val="false"/>
          <w:color w:val="000000"/>
          <w:sz w:val="28"/>
        </w:rPr>
        <w:t>
      Акимат Кобдинского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Кобдинского района Актюбинской области "Об утверждении правил расчета норм образования и накопления коммунальных отходов по Кобдинскому району" от 11 мая 2022 года № 158 следующие изменения и дополнения:</w:t>
      </w:r>
    </w:p>
    <w:bookmarkStart w:name="z42" w:id="1"/>
    <w:p>
      <w:pPr>
        <w:spacing w:after="0"/>
        <w:ind w:left="0"/>
        <w:jc w:val="both"/>
      </w:pPr>
      <w:r>
        <w:rPr>
          <w:rFonts w:ascii="Times New Roman"/>
          <w:b w:val="false"/>
          <w:i w:val="false"/>
          <w:color w:val="000000"/>
          <w:sz w:val="28"/>
        </w:rPr>
        <w:t xml:space="preserve">
      "Об утверждении правил расчета норм образования и накопления коммунальных отходов по Кобдинскому району" </w:t>
      </w:r>
      <w:r>
        <w:rPr>
          <w:rFonts w:ascii="Times New Roman"/>
          <w:b w:val="false"/>
          <w:i w:val="false"/>
          <w:color w:val="000000"/>
          <w:sz w:val="28"/>
        </w:rPr>
        <w:t>пункт 2</w:t>
      </w:r>
      <w:r>
        <w:rPr>
          <w:rFonts w:ascii="Times New Roman"/>
          <w:b w:val="false"/>
          <w:i w:val="false"/>
          <w:color w:val="000000"/>
          <w:sz w:val="28"/>
        </w:rPr>
        <w:t xml:space="preserve"> подпункт 1) указанного постановления изложить в новой редакции:</w:t>
      </w:r>
    </w:p>
    <w:bookmarkEnd w:id="1"/>
    <w:p>
      <w:pPr>
        <w:spacing w:after="0"/>
        <w:ind w:left="0"/>
        <w:jc w:val="both"/>
      </w:pPr>
      <w:r>
        <w:rPr>
          <w:rFonts w:ascii="Times New Roman"/>
          <w:b w:val="false"/>
          <w:i w:val="false"/>
          <w:color w:val="000000"/>
          <w:sz w:val="28"/>
        </w:rPr>
        <w:t>
      Государственному учреждению "Кобдинский районный отдел архитектуры, строительства, жилищно-коммунального хозяйства, пассажирского транспорта и автомобильных дорог" в установленном законодательством порядке обеспечить:</w:t>
      </w:r>
    </w:p>
    <w:p>
      <w:pPr>
        <w:spacing w:after="0"/>
        <w:ind w:left="0"/>
        <w:jc w:val="both"/>
      </w:pPr>
      <w:r>
        <w:rPr>
          <w:rFonts w:ascii="Times New Roman"/>
          <w:b w:val="false"/>
          <w:i w:val="false"/>
          <w:color w:val="000000"/>
          <w:sz w:val="28"/>
        </w:rPr>
        <w:t>
      1) официальное опубликование в эталонном контрольном банке нормативных правовых актов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в правило расчета норм образования и накопления коммунальных отходов Кобдинского района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(зарегистрированным в Реестре государственной регистрации нормативных правовых актов под № 24212).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в правило расчета норм образования и накопления коммунальных отходов Кобдинского района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Кобдинского района.</w:t>
      </w:r>
    </w:p>
    <w:bookmarkEnd w:id="2"/>
    <w:bookmarkStart w:name="z8"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Кобдинского районного акимата </w:t>
            </w:r>
            <w:r>
              <w:br/>
            </w:r>
            <w:r>
              <w:rPr>
                <w:rFonts w:ascii="Times New Roman"/>
                <w:b w:val="false"/>
                <w:i w:val="false"/>
                <w:color w:val="000000"/>
                <w:sz w:val="20"/>
              </w:rPr>
              <w:t>от "14" июня 2022 года № 191</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Кобдинского района</w:t>
      </w:r>
    </w:p>
    <w:bookmarkEnd w:id="4"/>
    <w:bookmarkStart w:name="z11" w:id="5"/>
    <w:p>
      <w:pPr>
        <w:spacing w:after="0"/>
        <w:ind w:left="0"/>
        <w:jc w:val="left"/>
      </w:pPr>
      <w:r>
        <w:rPr>
          <w:rFonts w:ascii="Times New Roman"/>
          <w:b/>
          <w:i w:val="false"/>
          <w:color w:val="000000"/>
        </w:rPr>
        <w:t xml:space="preserve">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 также </w:t>
      </w:r>
      <w:r>
        <w:rPr>
          <w:rFonts w:ascii="Times New Roman"/>
          <w:b w:val="false"/>
          <w:i w:val="false"/>
          <w:color w:val="000000"/>
          <w:sz w:val="28"/>
        </w:rPr>
        <w:t>Типовыми правилами расчета норм образования и накопления коммунальных отходов</w:t>
      </w:r>
      <w:r>
        <w:rPr>
          <w:rFonts w:ascii="Times New Roman"/>
          <w:b w:val="false"/>
          <w:i w:val="false"/>
          <w:color w:val="000000"/>
          <w:sz w:val="28"/>
        </w:rPr>
        <w:t>, утвержденными приказом Министра экологии, геологии и природных ресурсов Республики Казахстан от 1 сентября 2021 года № 347 (зарегистрированным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Start w:name="z13"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4" w:id="7"/>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 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7"/>
    <w:bookmarkStart w:name="z15" w:id="8"/>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8"/>
    <w:bookmarkStart w:name="z16" w:id="9"/>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7" w:id="10"/>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0"/>
    <w:bookmarkStart w:name="z18" w:id="11"/>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9" w:id="12"/>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20" w:id="1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3"/>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21" w:id="14"/>
    <w:p>
      <w:pPr>
        <w:spacing w:after="0"/>
        <w:ind w:left="0"/>
        <w:jc w:val="both"/>
      </w:pPr>
      <w:r>
        <w:rPr>
          <w:rFonts w:ascii="Times New Roman"/>
          <w:b w:val="false"/>
          <w:i w:val="false"/>
          <w:color w:val="000000"/>
          <w:sz w:val="28"/>
        </w:rPr>
        <w:t>
      9. На выбранные объекты перед проведением замеров акиматом Кобдинского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14"/>
    <w:bookmarkStart w:name="z22" w:id="1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5"/>
    <w:bookmarkStart w:name="z23" w:id="1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6"/>
    <w:bookmarkStart w:name="z24" w:id="1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7"/>
    <w:bookmarkStart w:name="z25" w:id="1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8"/>
    <w:bookmarkStart w:name="z26" w:id="1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акиматом Кобдинского района в бланк первичных записей по форме согласно приложению 3 к Правилам.</w:t>
      </w:r>
    </w:p>
    <w:bookmarkEnd w:id="19"/>
    <w:bookmarkStart w:name="z27" w:id="2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акиматом Кобдинского района в сводную сезонную ведомость образования и накопления коммунальных отходов по форме согласно приложению 4 к Правилам.</w:t>
      </w:r>
    </w:p>
    <w:bookmarkEnd w:id="20"/>
    <w:bookmarkStart w:name="z28" w:id="21"/>
    <w:p>
      <w:pPr>
        <w:spacing w:after="0"/>
        <w:ind w:left="0"/>
        <w:jc w:val="both"/>
      </w:pPr>
      <w:r>
        <w:rPr>
          <w:rFonts w:ascii="Times New Roman"/>
          <w:b w:val="false"/>
          <w:i w:val="false"/>
          <w:color w:val="000000"/>
          <w:sz w:val="28"/>
        </w:rPr>
        <w:t>
      16. После проведения сезонных замеров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21"/>
    <w:bookmarkStart w:name="z29" w:id="2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2"/>
    <w:bookmarkStart w:name="z30" w:id="2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3"/>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31" w:id="2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4"/>
    <w:bookmarkStart w:name="z32" w:id="2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5"/>
    <w:bookmarkStart w:name="z33" w:id="26"/>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26"/>
    <w:bookmarkStart w:name="z34" w:id="2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7"/>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bscript"/>
        </w:rPr>
        <w:t>зсс</w:t>
      </w:r>
      <w:r>
        <w:rPr>
          <w:rFonts w:ascii="Times New Roman"/>
          <w:b w:val="false"/>
          <w:i w:val="false"/>
          <w:color w:val="000000"/>
          <w:sz w:val="28"/>
        </w:rPr>
        <w:t xml:space="preserve"> + m</w:t>
      </w:r>
      <w:r>
        <w:rPr>
          <w:rFonts w:ascii="Times New Roman"/>
          <w:b w:val="false"/>
          <w:i w:val="false"/>
          <w:color w:val="000000"/>
          <w:vertAlign w:val="subscript"/>
        </w:rPr>
        <w:t>всс</w:t>
      </w:r>
      <w:r>
        <w:rPr>
          <w:rFonts w:ascii="Times New Roman"/>
          <w:b w:val="false"/>
          <w:i w:val="false"/>
          <w:color w:val="000000"/>
          <w:sz w:val="28"/>
        </w:rPr>
        <w:t xml:space="preserve"> + m</w:t>
      </w:r>
      <w:r>
        <w:rPr>
          <w:rFonts w:ascii="Times New Roman"/>
          <w:b w:val="false"/>
          <w:i w:val="false"/>
          <w:color w:val="000000"/>
          <w:vertAlign w:val="subscript"/>
        </w:rPr>
        <w:t>лсс</w:t>
      </w:r>
      <w:r>
        <w:rPr>
          <w:rFonts w:ascii="Times New Roman"/>
          <w:b w:val="false"/>
          <w:i w:val="false"/>
          <w:color w:val="000000"/>
          <w:sz w:val="28"/>
        </w:rPr>
        <w:t xml:space="preserve"> + m</w:t>
      </w:r>
      <w:r>
        <w:rPr>
          <w:rFonts w:ascii="Times New Roman"/>
          <w:b w:val="false"/>
          <w:i w:val="false"/>
          <w:color w:val="000000"/>
          <w:vertAlign w:val="subscript"/>
        </w:rPr>
        <w:t>осс</w:t>
      </w:r>
      <w:r>
        <w:rPr>
          <w:rFonts w:ascii="Times New Roman"/>
          <w:b w:val="false"/>
          <w:i w:val="false"/>
          <w:color w:val="000000"/>
          <w:sz w:val="28"/>
        </w:rPr>
        <w:t>)/n,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xn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xn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где nд - число дней в году;</w:t>
      </w:r>
    </w:p>
    <w:bookmarkStart w:name="z35" w:id="28"/>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8"/>
    <w:p>
      <w:pPr>
        <w:spacing w:after="0"/>
        <w:ind w:left="0"/>
        <w:jc w:val="both"/>
      </w:pPr>
      <w:r>
        <w:rPr>
          <w:rFonts w:ascii="Times New Roman"/>
          <w:b w:val="false"/>
          <w:i w:val="false"/>
          <w:color w:val="000000"/>
          <w:sz w:val="28"/>
        </w:rPr>
        <w:t>
      1) определение средней плотности коммунальных отходов (ср, кг/ 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6" w:id="2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игровые - развлекательные центры, музеи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 под зелеными насаждениями ___________________________________________ под твердым покрытием _______________________________________________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9. Периодичность вывоза вторсырья 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Периодичность вывоза пищевых отходов 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 под зелеными насаждениями _________________________________________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p>
      <w:pPr>
        <w:spacing w:after="0"/>
        <w:ind w:left="0"/>
        <w:jc w:val="both"/>
      </w:pPr>
      <w:r>
        <w:rPr>
          <w:rFonts w:ascii="Times New Roman"/>
          <w:b w:val="false"/>
          <w:i w:val="false"/>
          <w:color w:val="000000"/>
          <w:sz w:val="28"/>
        </w:rPr>
        <w:t xml:space="preserve">
      12. Периодичность вывоза вторсырья 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13. Периодичность вывоза пищевых отходов 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 по объекту</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w:t>
            </w:r>
            <w:r>
              <w:rPr>
                <w:rFonts w:ascii="Times New Roman"/>
                <w:b w:val="false"/>
                <w:i w:val="false"/>
                <w:color w:val="000000"/>
                <w:vertAlign w:val="superscript"/>
              </w:rPr>
              <w:t>3</w:t>
            </w:r>
            <w:r>
              <w:rPr>
                <w:rFonts w:ascii="Times New Roman"/>
                <w:b w:val="false"/>
                <w:i w:val="false"/>
                <w:color w:val="000000"/>
                <w:sz w:val="20"/>
              </w:rPr>
              <w:t xml:space="preserve">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 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 (при его наличии), должность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