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b24f" w14:textId="d91b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2023-2025 годы согласно приложениям 1, 2 и 3, в том числе на 2023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656 021,5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549 900,5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667 964,6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- 11 943,1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11 943,1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11 943,1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городского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городском бюджете на 2023 год субвенции, передаваемые из районного бюджета в сумме - 135 026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города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административных государственных служащих – 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затраты государственного органа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 – 45 172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освещение улиц в населенных пунктах – 15 128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и средний ремонт автомобильных дорог районного значения и улиц населенных пунктов – 240 379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