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a28b" w14:textId="58fa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2022 года № 198/37-7.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43 627 385,3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3 915 721,5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559 320,8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39 122 958,4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43 758 561,2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-17 503,0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113 672,9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–158 580,5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1 725 944,7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1 681 037,1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2023 год объемы бюджетных субвенций, передаваемые из республиканского бюджета, в сумме 323 471,0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2023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на 2023 год целевые трансферты из Национального фонда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и бюджетных кредитов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2023 год в сумме 62 800,0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43 627 385,3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43 758 561,2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5 482 578,1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2 319 454,3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9 664 134,1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Целиноградского районного маслихата Акмолинской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12/2-8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Целиноградского районного маслихата Акмолинской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12/2-8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13 665 726,0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Целиноградского районного маслихата Акмолинской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76/11-8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9 096 966,4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5 417 920,1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государственных органов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технических паспортов на объекты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в селе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3 679 046,3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2023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1 825 933,0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