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3725" w14:textId="03e3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декабря 2022 года № С 31-1.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5 733 889,1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1 550 311,9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23 202,6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98 558,5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4 061 816,1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6 196 371,7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-6 184,6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-456 298,0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456 298,0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предусмотрены объемы субвенций, передаваемых из районного бюджета бюджетам города районного значения, села, сельских округов в сумме 216 713,0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Урюпинский сельский округ 29 279,0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сельский округ 30 507,0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Наумовский сельский округ 27 875,0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24 495,0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Новорыбинский сельский округ 22 622,0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Енбекский сельский округ 25 371,0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Жалгызкарагайский сельский округ 30 200,0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Азат 26 364,0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2023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2023 год предусмотрено погашение долга местного исполнительного органа перед вышестоящим бюджетом в сумме 11 184,6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районного бюджета на 2023 год предусмотрен объем субвенции из областного бюджета в сумме 869 031,0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2023 год в сумме 19 525,8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районного бюджета на 2023 год, предусмотрены целевые трансферты из областного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на 2023 год, предусмотрены целевые трансферты из районного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5 733 889,1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31-1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31-1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1 418 343,3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коммуникаций на застроенной территории города Акколь с составлением кадастрового плана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301 918,8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388 748,9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Аккольского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