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4c2b" w14:textId="4044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расчетов прогнозных объемов доходов и затрат бюджетов сельских округов Акжаикского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Акжаикского района Западно-Казахстанской области от 27 декабря 2021 года № 316. Утратило силу постановлением акимата Акжаикского района Западно-Казахстанской области от 23 сентября 2025 года № 222</w:t>
      </w:r>
    </w:p>
    <w:p>
      <w:pPr>
        <w:spacing w:after="0"/>
        <w:ind w:left="0"/>
        <w:jc w:val="both"/>
      </w:pPr>
      <w:r>
        <w:rPr>
          <w:rFonts w:ascii="Times New Roman"/>
          <w:b w:val="false"/>
          <w:i w:val="false"/>
          <w:color w:val="ff0000"/>
          <w:sz w:val="28"/>
        </w:rPr>
        <w:t xml:space="preserve">
      Сноска. Утратило силу постановлением акимата Акжаикского района Западно-Казахстанской области от 23.09.2025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методики расчетов трансфертов общего характера" и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"Об утверждении Методики прогнозирования поступлений бюджета", акимат Акжаикского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Утвердить Порядок расчетов прогнозных объемов доходов и затрат бюджетов сельских округов Акжаикского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Государственному учреждению "Отдел экономики и финансов Акжаикского района" принять необходимые меры, вытекающие из настоящего постановления.</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Е.Умитову.</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К.Айтмухамбетов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Акжаикского района </w:t>
            </w:r>
            <w:r>
              <w:br/>
            </w:r>
            <w:r>
              <w:rPr>
                <w:rFonts w:ascii="Times New Roman"/>
                <w:b w:val="false"/>
                <w:i w:val="false"/>
                <w:color w:val="000000"/>
                <w:sz w:val="20"/>
              </w:rPr>
              <w:t>№316 от 27 декабря 2021года</w:t>
            </w:r>
          </w:p>
        </w:tc>
      </w:tr>
    </w:tbl>
    <w:bookmarkStart w:name="z9" w:id="4"/>
    <w:p>
      <w:pPr>
        <w:spacing w:after="0"/>
        <w:ind w:left="0"/>
        <w:jc w:val="left"/>
      </w:pPr>
      <w:r>
        <w:rPr>
          <w:rFonts w:ascii="Times New Roman"/>
          <w:b/>
          <w:i w:val="false"/>
          <w:color w:val="000000"/>
        </w:rPr>
        <w:t xml:space="preserve"> Порядок расчетов прогнозных объемов доходов и затрат бюджетов сельских округов Акжаикского района</w:t>
      </w:r>
    </w:p>
    <w:bookmarkEnd w:id="4"/>
    <w:bookmarkStart w:name="z10" w:id="5"/>
    <w:p>
      <w:pPr>
        <w:spacing w:after="0"/>
        <w:ind w:left="0"/>
        <w:jc w:val="left"/>
      </w:pPr>
      <w:r>
        <w:rPr>
          <w:rFonts w:ascii="Times New Roman"/>
          <w:b/>
          <w:i w:val="false"/>
          <w:color w:val="000000"/>
        </w:rPr>
        <w:t xml:space="preserve"> Глава 1. Основные положения</w:t>
      </w:r>
    </w:p>
    <w:bookmarkEnd w:id="5"/>
    <w:bookmarkStart w:name="z11" w:id="6"/>
    <w:p>
      <w:pPr>
        <w:spacing w:after="0"/>
        <w:ind w:left="0"/>
        <w:jc w:val="both"/>
      </w:pPr>
      <w:r>
        <w:rPr>
          <w:rFonts w:ascii="Times New Roman"/>
          <w:b w:val="false"/>
          <w:i w:val="false"/>
          <w:color w:val="000000"/>
          <w:sz w:val="28"/>
        </w:rPr>
        <w:t xml:space="preserve">
      1. Настоящий Порядок расчетов прогнозных объемов доходов и затрат бюджетов сельских округов Акжаикского района (далее – Порядок) разработан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сельских округов Акжаикского района (далее – сельских округов).</w:t>
      </w:r>
    </w:p>
    <w:bookmarkEnd w:id="6"/>
    <w:bookmarkStart w:name="z12" w:id="7"/>
    <w:p>
      <w:pPr>
        <w:spacing w:after="0"/>
        <w:ind w:left="0"/>
        <w:jc w:val="left"/>
      </w:pPr>
      <w:r>
        <w:rPr>
          <w:rFonts w:ascii="Times New Roman"/>
          <w:b/>
          <w:i w:val="false"/>
          <w:color w:val="000000"/>
        </w:rPr>
        <w:t xml:space="preserve"> Глава 2. Определение прогнозных объемов доходов бюджетов сельских округов</w:t>
      </w:r>
    </w:p>
    <w:bookmarkEnd w:id="7"/>
    <w:bookmarkStart w:name="z13" w:id="8"/>
    <w:p>
      <w:pPr>
        <w:spacing w:after="0"/>
        <w:ind w:left="0"/>
        <w:jc w:val="both"/>
      </w:pPr>
      <w:r>
        <w:rPr>
          <w:rFonts w:ascii="Times New Roman"/>
          <w:b w:val="false"/>
          <w:i w:val="false"/>
          <w:color w:val="000000"/>
          <w:sz w:val="28"/>
        </w:rPr>
        <w:t xml:space="preserve">
      2. Прогнозные объемы доходов бюджетов сельских округов рассчитываются согласно Методике прогнозирования поступлений бюджета, утверждаемой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w:t>
      </w:r>
    </w:p>
    <w:bookmarkEnd w:id="8"/>
    <w:bookmarkStart w:name="z14" w:id="9"/>
    <w:p>
      <w:pPr>
        <w:spacing w:after="0"/>
        <w:ind w:left="0"/>
        <w:jc w:val="left"/>
      </w:pPr>
      <w:r>
        <w:rPr>
          <w:rFonts w:ascii="Times New Roman"/>
          <w:b/>
          <w:i w:val="false"/>
          <w:color w:val="000000"/>
        </w:rPr>
        <w:t xml:space="preserve"> Глава 3. Определение прогнозных объемов затрат бюджетов сельских округов</w:t>
      </w:r>
    </w:p>
    <w:bookmarkEnd w:id="9"/>
    <w:bookmarkStart w:name="z15" w:id="10"/>
    <w:p>
      <w:pPr>
        <w:spacing w:after="0"/>
        <w:ind w:left="0"/>
        <w:jc w:val="both"/>
      </w:pPr>
      <w:r>
        <w:rPr>
          <w:rFonts w:ascii="Times New Roman"/>
          <w:b w:val="false"/>
          <w:i w:val="false"/>
          <w:color w:val="000000"/>
          <w:sz w:val="28"/>
        </w:rPr>
        <w:t xml:space="preserve">
      3. Прогнозные объемы затрат бюджетов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0"/>
    <w:bookmarkStart w:name="z16" w:id="11"/>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аппаратов акимов сельских округов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1"/>
    <w:bookmarkStart w:name="z17" w:id="12"/>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bookmarkEnd w:id="12"/>
    <w:bookmarkStart w:name="z18" w:id="13"/>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End w:id="13"/>
    <w:bookmarkStart w:name="z19" w:id="14"/>
    <w:p>
      <w:pPr>
        <w:spacing w:after="0"/>
        <w:ind w:left="0"/>
        <w:jc w:val="left"/>
      </w:pPr>
      <w:r>
        <w:rPr>
          <w:rFonts w:ascii="Times New Roman"/>
          <w:b/>
          <w:i w:val="false"/>
          <w:color w:val="000000"/>
        </w:rPr>
        <w:t xml:space="preserve"> Глава 4. Расчет прогнозных объемов текущих затрат бюджетов сельских округов</w:t>
      </w:r>
    </w:p>
    <w:bookmarkEnd w:id="14"/>
    <w:bookmarkStart w:name="z20" w:id="15"/>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сельских округов.</w:t>
      </w:r>
    </w:p>
    <w:bookmarkEnd w:id="15"/>
    <w:bookmarkStart w:name="z21" w:id="16"/>
    <w:p>
      <w:pPr>
        <w:spacing w:after="0"/>
        <w:ind w:left="0"/>
        <w:jc w:val="both"/>
      </w:pPr>
      <w:r>
        <w:rPr>
          <w:rFonts w:ascii="Times New Roman"/>
          <w:b w:val="false"/>
          <w:i w:val="false"/>
          <w:color w:val="000000"/>
          <w:sz w:val="28"/>
        </w:rPr>
        <w:t>
      5. При определении прогнозного объема текущих затрат бюджетов сельских округов учитываются:</w:t>
      </w:r>
    </w:p>
    <w:bookmarkEnd w:id="16"/>
    <w:bookmarkStart w:name="z22" w:id="17"/>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города (за исключением заработной платы);</w:t>
      </w:r>
    </w:p>
    <w:bookmarkEnd w:id="17"/>
    <w:bookmarkStart w:name="z23" w:id="18"/>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сельских округов и вводимые в действие в планируемом периоде;</w:t>
      </w:r>
    </w:p>
    <w:bookmarkEnd w:id="18"/>
    <w:bookmarkStart w:name="z24" w:id="19"/>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19"/>
    <w:bookmarkStart w:name="z25" w:id="20"/>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0"/>
    <w:bookmarkStart w:name="z26" w:id="21"/>
    <w:p>
      <w:pPr>
        <w:spacing w:after="0"/>
        <w:ind w:left="0"/>
        <w:jc w:val="both"/>
      </w:pPr>
      <w:r>
        <w:rPr>
          <w:rFonts w:ascii="Times New Roman"/>
          <w:b w:val="false"/>
          <w:i w:val="false"/>
          <w:color w:val="000000"/>
          <w:sz w:val="28"/>
        </w:rPr>
        <w:t>
      5) положения решений представительного и исполнительного органов Акжаикского района, предусматривающие увеличение или сокращение расходов бюджетов сельских округов города и вводимых в действие в планируемом периоде.</w:t>
      </w:r>
    </w:p>
    <w:bookmarkEnd w:id="21"/>
    <w:bookmarkStart w:name="z27" w:id="22"/>
    <w:p>
      <w:pPr>
        <w:spacing w:after="0"/>
        <w:ind w:left="0"/>
        <w:jc w:val="both"/>
      </w:pPr>
      <w:r>
        <w:rPr>
          <w:rFonts w:ascii="Times New Roman"/>
          <w:b w:val="false"/>
          <w:i w:val="false"/>
          <w:color w:val="000000"/>
          <w:sz w:val="28"/>
        </w:rPr>
        <w:t>
      6. Из суммарного прогнозного объема текущих затрат бюджетов сельских округов исключаются средства на выплату экологических надбавок, оказание материальной помощи 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сельских округов.</w:t>
      </w:r>
    </w:p>
    <w:bookmarkEnd w:id="22"/>
    <w:bookmarkStart w:name="z28" w:id="23"/>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сельских округов принимаются объемы текущих затрат в соответствии с уточненным планом года, предшествующего планируемому периоду.</w:t>
      </w:r>
    </w:p>
    <w:bookmarkEnd w:id="23"/>
    <w:bookmarkStart w:name="z29" w:id="24"/>
    <w:p>
      <w:pPr>
        <w:spacing w:after="0"/>
        <w:ind w:left="0"/>
        <w:jc w:val="both"/>
      </w:pPr>
      <w:r>
        <w:rPr>
          <w:rFonts w:ascii="Times New Roman"/>
          <w:b w:val="false"/>
          <w:i w:val="false"/>
          <w:color w:val="000000"/>
          <w:sz w:val="28"/>
        </w:rPr>
        <w:t xml:space="preserve">
      8. Расчет прогнозного объема текущих затрат бюджетов города сельских округов производится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Порядку.</w:t>
      </w:r>
    </w:p>
    <w:bookmarkEnd w:id="24"/>
    <w:bookmarkStart w:name="z30" w:id="25"/>
    <w:p>
      <w:pPr>
        <w:spacing w:after="0"/>
        <w:ind w:left="0"/>
        <w:jc w:val="both"/>
      </w:pPr>
      <w:r>
        <w:rPr>
          <w:rFonts w:ascii="Times New Roman"/>
          <w:b w:val="false"/>
          <w:i w:val="false"/>
          <w:color w:val="000000"/>
          <w:sz w:val="28"/>
        </w:rPr>
        <w:t>
      9. Расчет текущих затрат отдельного сельского округа по отдельной функциональной подгруппе производится по следующей формуле:</w:t>
      </w:r>
    </w:p>
    <w:bookmarkEnd w:id="25"/>
    <w:bookmarkStart w:name="z3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где:</w:t>
      </w:r>
    </w:p>
    <w:bookmarkEnd w:id="27"/>
    <w:bookmarkStart w:name="z33"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4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расчетные текущие затраты i-го сельского округа по j-й функциональной подгруппе;</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Зj – суммарный прогнозный объем текущих затрат по бюджетам сельских округов по j-й функциональной подгруппе;</w:t>
      </w:r>
    </w:p>
    <w:bookmarkEnd w:id="29"/>
    <w:bookmarkStart w:name="z35"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63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потребителей государственных услуг i-го сельского округа по j-й функциональной подгруппе;</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коэффициенты, учитывающие объективные факторы, которые обусловливают отличия в стоимости предоставления государственных услуг в i-ом сельском округе по j-й функциональной подгруппе от среднегородского уровня.</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32"/>
    <w:bookmarkStart w:name="z38" w:id="33"/>
    <w:p>
      <w:pPr>
        <w:spacing w:after="0"/>
        <w:ind w:left="0"/>
        <w:jc w:val="both"/>
      </w:pPr>
      <w:r>
        <w:rPr>
          <w:rFonts w:ascii="Times New Roman"/>
          <w:b w:val="false"/>
          <w:i w:val="false"/>
          <w:color w:val="000000"/>
          <w:sz w:val="28"/>
        </w:rPr>
        <w:t>
      1) коэффициент урбанизации:</w:t>
      </w:r>
    </w:p>
    <w:bookmarkEnd w:id="33"/>
    <w:bookmarkStart w:name="z39"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34417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417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где:</w:t>
      </w:r>
    </w:p>
    <w:bookmarkEnd w:id="35"/>
    <w:bookmarkStart w:name="z41" w:id="36"/>
    <w:p>
      <w:pPr>
        <w:spacing w:after="0"/>
        <w:ind w:left="0"/>
        <w:jc w:val="both"/>
      </w:pPr>
      <w:r>
        <w:rPr>
          <w:rFonts w:ascii="Times New Roman"/>
          <w:b w:val="false"/>
          <w:i w:val="false"/>
          <w:color w:val="000000"/>
          <w:sz w:val="28"/>
        </w:rPr>
        <w:t>
      Насiгор – прогнозная численность городского населения i-го города районного значения, села, поселка, сельского округа;</w:t>
      </w:r>
    </w:p>
    <w:bookmarkEnd w:id="36"/>
    <w:bookmarkStart w:name="z42" w:id="37"/>
    <w:p>
      <w:pPr>
        <w:spacing w:after="0"/>
        <w:ind w:left="0"/>
        <w:jc w:val="both"/>
      </w:pPr>
      <w:r>
        <w:rPr>
          <w:rFonts w:ascii="Times New Roman"/>
          <w:b w:val="false"/>
          <w:i w:val="false"/>
          <w:color w:val="000000"/>
          <w:sz w:val="28"/>
        </w:rPr>
        <w:t>
      Насi – прогнозная численность населения в i-ом сельском округе.</w:t>
      </w:r>
    </w:p>
    <w:bookmarkEnd w:id="37"/>
    <w:bookmarkStart w:name="z43" w:id="38"/>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среднегородского уровень затрат, связанных с предоставлением государственных услуг в городской местности по отдельным функциональным подгруппам;</w:t>
      </w:r>
    </w:p>
    <w:bookmarkEnd w:id="38"/>
    <w:bookmarkStart w:name="z44" w:id="39"/>
    <w:p>
      <w:pPr>
        <w:spacing w:after="0"/>
        <w:ind w:left="0"/>
        <w:jc w:val="both"/>
      </w:pPr>
      <w:r>
        <w:rPr>
          <w:rFonts w:ascii="Times New Roman"/>
          <w:b w:val="false"/>
          <w:i w:val="false"/>
          <w:color w:val="000000"/>
          <w:sz w:val="28"/>
        </w:rPr>
        <w:t>
      2) коэффициент дисперсности расселения:</w:t>
      </w:r>
    </w:p>
    <w:bookmarkEnd w:id="39"/>
    <w:bookmarkStart w:name="z45"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где:</w:t>
      </w:r>
    </w:p>
    <w:bookmarkEnd w:id="41"/>
    <w:bookmarkStart w:name="z47" w:id="42"/>
    <w:p>
      <w:pPr>
        <w:spacing w:after="0"/>
        <w:ind w:left="0"/>
        <w:jc w:val="both"/>
      </w:pPr>
      <w:r>
        <w:rPr>
          <w:rFonts w:ascii="Times New Roman"/>
          <w:b w:val="false"/>
          <w:i w:val="false"/>
          <w:color w:val="000000"/>
          <w:sz w:val="28"/>
        </w:rPr>
        <w:t>
      Насiмелк – прогнозная численность населения i-ом сельском округе, проживающего в населенных пунктах с численностью населения менее 500 человек;</w:t>
      </w:r>
    </w:p>
    <w:bookmarkEnd w:id="42"/>
    <w:bookmarkStart w:name="z48" w:id="43"/>
    <w:p>
      <w:pPr>
        <w:spacing w:after="0"/>
        <w:ind w:left="0"/>
        <w:jc w:val="both"/>
      </w:pPr>
      <w:r>
        <w:rPr>
          <w:rFonts w:ascii="Times New Roman"/>
          <w:b w:val="false"/>
          <w:i w:val="false"/>
          <w:color w:val="000000"/>
          <w:sz w:val="28"/>
        </w:rPr>
        <w:t>
      Насi – общая прогнозная численность населения в i-ом сельском округе.</w:t>
      </w:r>
    </w:p>
    <w:bookmarkEnd w:id="43"/>
    <w:bookmarkStart w:name="z49" w:id="44"/>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среднегородским уровень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bookmarkEnd w:id="44"/>
    <w:bookmarkStart w:name="z50" w:id="45"/>
    <w:p>
      <w:pPr>
        <w:spacing w:after="0"/>
        <w:ind w:left="0"/>
        <w:jc w:val="both"/>
      </w:pPr>
      <w:r>
        <w:rPr>
          <w:rFonts w:ascii="Times New Roman"/>
          <w:b w:val="false"/>
          <w:i w:val="false"/>
          <w:color w:val="000000"/>
          <w:sz w:val="28"/>
        </w:rPr>
        <w:t>
      3) коэффициент масштаба:</w:t>
      </w:r>
    </w:p>
    <w:bookmarkEnd w:id="45"/>
    <w:bookmarkStart w:name="z51"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527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7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где:</w:t>
      </w:r>
    </w:p>
    <w:bookmarkEnd w:id="47"/>
    <w:bookmarkStart w:name="z53"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вес, с которым учитывается отклонение численности населения сельских округов от среднегородского уровня;</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927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271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прогнозная численность населения одного сельского округа; </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Насi – прогнозная численность населения в i-ом сельском округе.</w:t>
      </w:r>
    </w:p>
    <w:bookmarkEnd w:id="50"/>
    <w:bookmarkStart w:name="z56" w:id="51"/>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bookmarkEnd w:id="51"/>
    <w:bookmarkStart w:name="z57" w:id="52"/>
    <w:p>
      <w:pPr>
        <w:spacing w:after="0"/>
        <w:ind w:left="0"/>
        <w:jc w:val="both"/>
      </w:pPr>
      <w:r>
        <w:rPr>
          <w:rFonts w:ascii="Times New Roman"/>
          <w:b w:val="false"/>
          <w:i w:val="false"/>
          <w:color w:val="000000"/>
          <w:sz w:val="28"/>
        </w:rPr>
        <w:t>
      4) коэффициент учета надбавок за работу в сельской местности:</w:t>
      </w:r>
    </w:p>
    <w:bookmarkEnd w:id="52"/>
    <w:bookmarkStart w:name="z5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где:</w:t>
      </w:r>
    </w:p>
    <w:bookmarkEnd w:id="54"/>
    <w:bookmarkStart w:name="z60" w:id="55"/>
    <w:p>
      <w:pPr>
        <w:spacing w:after="0"/>
        <w:ind w:left="0"/>
        <w:jc w:val="both"/>
      </w:pPr>
      <w:r>
        <w:rPr>
          <w:rFonts w:ascii="Times New Roman"/>
          <w:b w:val="false"/>
          <w:i w:val="false"/>
          <w:color w:val="000000"/>
          <w:sz w:val="28"/>
        </w:rPr>
        <w:t>
      Насiсельск – прогнозная численность сельского населения i-ом сельском округе;</w:t>
      </w:r>
    </w:p>
    <w:bookmarkEnd w:id="55"/>
    <w:bookmarkStart w:name="z61"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заработной платы в общем объеме текущих затрат по j-й функциональной подгруппе (в сумме по всем сельским округам).</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bookmarkEnd w:id="57"/>
    <w:bookmarkStart w:name="z63" w:id="58"/>
    <w:p>
      <w:pPr>
        <w:spacing w:after="0"/>
        <w:ind w:left="0"/>
        <w:jc w:val="both"/>
      </w:pPr>
      <w:r>
        <w:rPr>
          <w:rFonts w:ascii="Times New Roman"/>
          <w:b w:val="false"/>
          <w:i w:val="false"/>
          <w:color w:val="000000"/>
          <w:sz w:val="28"/>
        </w:rPr>
        <w:t>
      5) коэффициент плотности:</w:t>
      </w:r>
    </w:p>
    <w:bookmarkEnd w:id="58"/>
    <w:bookmarkStart w:name="z6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где:</w:t>
      </w:r>
    </w:p>
    <w:bookmarkEnd w:id="60"/>
    <w:bookmarkStart w:name="z6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населения в среднем по Акжаикскому району;</w:t>
      </w: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рi – плотность населения в i-ом сельском округе;</w:t>
      </w:r>
    </w:p>
    <w:bookmarkEnd w:id="62"/>
    <w:bookmarkStart w:name="z68"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вес, с которым учитывается отклонение плотности населения сельских округов от среднегородского уровня.</w:t>
      </w: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Коэффициент плотности учитывает увеличение затрат бюджетов сельских округов в связи с уменьшением плотности населения Акжаикского района;</w:t>
      </w:r>
    </w:p>
    <w:bookmarkEnd w:id="64"/>
    <w:bookmarkStart w:name="z70" w:id="65"/>
    <w:p>
      <w:pPr>
        <w:spacing w:after="0"/>
        <w:ind w:left="0"/>
        <w:jc w:val="both"/>
      </w:pPr>
      <w:r>
        <w:rPr>
          <w:rFonts w:ascii="Times New Roman"/>
          <w:b w:val="false"/>
          <w:i w:val="false"/>
          <w:color w:val="000000"/>
          <w:sz w:val="28"/>
        </w:rPr>
        <w:t>
      6) коэффициент содержания дорог:</w:t>
      </w:r>
    </w:p>
    <w:bookmarkEnd w:id="65"/>
    <w:bookmarkStart w:name="z7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где:</w:t>
      </w:r>
    </w:p>
    <w:bookmarkEnd w:id="67"/>
    <w:bookmarkStart w:name="z73" w:id="68"/>
    <w:p>
      <w:pPr>
        <w:spacing w:after="0"/>
        <w:ind w:left="0"/>
        <w:jc w:val="both"/>
      </w:pPr>
      <w:r>
        <w:rPr>
          <w:rFonts w:ascii="Times New Roman"/>
          <w:b w:val="false"/>
          <w:i w:val="false"/>
          <w:color w:val="000000"/>
          <w:sz w:val="28"/>
        </w:rPr>
        <w:t xml:space="preserve">
      Ni – норматив финансирования на содержание автомобильных дорог местного значения i-ом сельском округе, утверждаемый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пункта 2 статьи 12 Закона Республики Казахстан от 17 июля 2001 года "Об автомобильных дорогах".</w:t>
      </w:r>
    </w:p>
    <w:bookmarkEnd w:id="68"/>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 финансирования на содержание автомобильных дорог в среднем по Акжаикскому району;</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bookmarkEnd w:id="70"/>
    <w:bookmarkStart w:name="z7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где:</w:t>
      </w:r>
    </w:p>
    <w:bookmarkEnd w:id="72"/>
    <w:bookmarkStart w:name="z78" w:id="73"/>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i-ом сельском округе.</w:t>
      </w:r>
    </w:p>
    <w:bookmarkEnd w:id="73"/>
    <w:bookmarkStart w:name="z79" w:id="74"/>
    <w:p>
      <w:pPr>
        <w:spacing w:after="0"/>
        <w:ind w:left="0"/>
        <w:jc w:val="both"/>
      </w:pPr>
      <w:r>
        <w:rPr>
          <w:rFonts w:ascii="Times New Roman"/>
          <w:b w:val="false"/>
          <w:i w:val="false"/>
          <w:color w:val="000000"/>
          <w:sz w:val="28"/>
        </w:rPr>
        <w:t>
      Коэффициент учета бедности учитывает увеличение затрат бюджетов регионов, на выплату социальной помощи в связи с ростом доли населения с доходами ниже величины прожиточного минимума;</w:t>
      </w:r>
    </w:p>
    <w:bookmarkEnd w:id="74"/>
    <w:bookmarkStart w:name="z80" w:id="75"/>
    <w:p>
      <w:pPr>
        <w:spacing w:after="0"/>
        <w:ind w:left="0"/>
        <w:jc w:val="both"/>
      </w:pPr>
      <w:r>
        <w:rPr>
          <w:rFonts w:ascii="Times New Roman"/>
          <w:b w:val="false"/>
          <w:i w:val="false"/>
          <w:color w:val="000000"/>
          <w:sz w:val="28"/>
        </w:rPr>
        <w:t>
      8) коэффициент учета продолжительности отопительного сезона:</w:t>
      </w:r>
    </w:p>
    <w:bookmarkEnd w:id="75"/>
    <w:bookmarkStart w:name="z8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где:</w:t>
      </w:r>
    </w:p>
    <w:bookmarkEnd w:id="77"/>
    <w:bookmarkStart w:name="z83" w:id="78"/>
    <w:p>
      <w:pPr>
        <w:spacing w:after="0"/>
        <w:ind w:left="0"/>
        <w:jc w:val="both"/>
      </w:pPr>
      <w:r>
        <w:rPr>
          <w:rFonts w:ascii="Times New Roman"/>
          <w:b w:val="false"/>
          <w:i w:val="false"/>
          <w:color w:val="000000"/>
          <w:sz w:val="28"/>
        </w:rPr>
        <w:t>
      di – период отопительного сезона в i-ом сельском округе;</w:t>
      </w:r>
    </w:p>
    <w:bookmarkEnd w:id="78"/>
    <w:bookmarkStart w:name="z84"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период отопительного сезона в среднем по Акжаикскому району; </w:t>
      </w:r>
      <w:r>
        <w:br/>
      </w:r>
      <w:r>
        <w:rPr>
          <w:rFonts w:ascii="Times New Roman"/>
          <w:b w:val="false"/>
          <w:i w:val="false"/>
          <w:color w:val="000000"/>
          <w:sz w:val="28"/>
        </w:rPr>
        <w:t>
</w:t>
      </w:r>
    </w:p>
    <w:bookmarkStart w:name="z8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затрат на отопление в общем объеме текущих затрат бюджетов сельского округа.</w:t>
      </w: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Акжаикского района на отопление от продолжительности отопительного сезона в области.</w:t>
      </w:r>
    </w:p>
    <w:bookmarkEnd w:id="81"/>
    <w:bookmarkStart w:name="z87" w:id="82"/>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сельских округов последующих двух годов принимаются прогнозные объемы текущих затрат бюджетов сельских округов первого года трехлетнего периода с учетом индекса потребительских цен.</w:t>
      </w:r>
    </w:p>
    <w:bookmarkEnd w:id="82"/>
    <w:bookmarkStart w:name="z88" w:id="83"/>
    <w:p>
      <w:pPr>
        <w:spacing w:after="0"/>
        <w:ind w:left="0"/>
        <w:jc w:val="left"/>
      </w:pPr>
      <w:r>
        <w:rPr>
          <w:rFonts w:ascii="Times New Roman"/>
          <w:b/>
          <w:i w:val="false"/>
          <w:color w:val="000000"/>
        </w:rPr>
        <w:t xml:space="preserve"> Глава 5. Расчет прогнозных объемов затрат капитального характера бюджетов сельских округов</w:t>
      </w:r>
    </w:p>
    <w:bookmarkEnd w:id="83"/>
    <w:bookmarkStart w:name="z89" w:id="84"/>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сельского округа.</w:t>
      </w:r>
    </w:p>
    <w:bookmarkEnd w:id="84"/>
    <w:bookmarkStart w:name="z90" w:id="85"/>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сельскому округу производится по следующей формуле:</w:t>
      </w:r>
    </w:p>
    <w:bookmarkEnd w:id="85"/>
    <w:bookmarkStart w:name="z91" w:id="86"/>
    <w:p>
      <w:pPr>
        <w:spacing w:after="0"/>
        <w:ind w:left="0"/>
        <w:jc w:val="both"/>
      </w:pPr>
      <w:r>
        <w:rPr>
          <w:rFonts w:ascii="Times New Roman"/>
          <w:b w:val="false"/>
          <w:i w:val="false"/>
          <w:color w:val="000000"/>
          <w:sz w:val="28"/>
        </w:rPr>
        <w:t>
      КЗi = k * РЗi,</w:t>
      </w:r>
    </w:p>
    <w:bookmarkEnd w:id="86"/>
    <w:bookmarkStart w:name="z92" w:id="87"/>
    <w:p>
      <w:pPr>
        <w:spacing w:after="0"/>
        <w:ind w:left="0"/>
        <w:jc w:val="both"/>
      </w:pPr>
      <w:r>
        <w:rPr>
          <w:rFonts w:ascii="Times New Roman"/>
          <w:b w:val="false"/>
          <w:i w:val="false"/>
          <w:color w:val="000000"/>
          <w:sz w:val="28"/>
        </w:rPr>
        <w:t>
      где:</w:t>
      </w:r>
    </w:p>
    <w:bookmarkEnd w:id="87"/>
    <w:bookmarkStart w:name="z93" w:id="88"/>
    <w:p>
      <w:pPr>
        <w:spacing w:after="0"/>
        <w:ind w:left="0"/>
        <w:jc w:val="both"/>
      </w:pPr>
      <w:r>
        <w:rPr>
          <w:rFonts w:ascii="Times New Roman"/>
          <w:b w:val="false"/>
          <w:i w:val="false"/>
          <w:color w:val="000000"/>
          <w:sz w:val="28"/>
        </w:rPr>
        <w:t>
      КЗi – расчетные затраты капитального характера i-й сельского округа;</w:t>
      </w:r>
    </w:p>
    <w:bookmarkEnd w:id="88"/>
    <w:bookmarkStart w:name="z94" w:id="89"/>
    <w:p>
      <w:pPr>
        <w:spacing w:after="0"/>
        <w:ind w:left="0"/>
        <w:jc w:val="both"/>
      </w:pPr>
      <w:r>
        <w:rPr>
          <w:rFonts w:ascii="Times New Roman"/>
          <w:b w:val="false"/>
          <w:i w:val="false"/>
          <w:color w:val="000000"/>
          <w:sz w:val="28"/>
        </w:rPr>
        <w:t>
      РЗi – расчетные текущие затраты i-го города сельского округа;</w:t>
      </w:r>
    </w:p>
    <w:bookmarkEnd w:id="89"/>
    <w:bookmarkStart w:name="z95" w:id="90"/>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90"/>
    <w:bookmarkStart w:name="z96" w:id="91"/>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бюджетом Акжаикского района и бюджетами сельских округов устанавливается решением районной бюджетной комиссии.</w:t>
      </w:r>
    </w:p>
    <w:bookmarkEnd w:id="91"/>
    <w:bookmarkStart w:name="z97" w:id="92"/>
    <w:p>
      <w:pPr>
        <w:spacing w:after="0"/>
        <w:ind w:left="0"/>
        <w:jc w:val="left"/>
      </w:pPr>
      <w:r>
        <w:rPr>
          <w:rFonts w:ascii="Times New Roman"/>
          <w:b/>
          <w:i w:val="false"/>
          <w:color w:val="000000"/>
        </w:rPr>
        <w:t xml:space="preserve"> Глава 6. Расчет прогнозных объемов затрат по бюджетным программам развития бюджетов сельских округов</w:t>
      </w:r>
    </w:p>
    <w:bookmarkEnd w:id="92"/>
    <w:bookmarkStart w:name="z98" w:id="93"/>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доходов сельского округа.</w:t>
      </w:r>
    </w:p>
    <w:bookmarkEnd w:id="93"/>
    <w:bookmarkStart w:name="z99" w:id="94"/>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сельскому округу производится по следующей формуле:</w:t>
      </w:r>
    </w:p>
    <w:bookmarkEnd w:id="94"/>
    <w:bookmarkStart w:name="z100" w:id="95"/>
    <w:p>
      <w:pPr>
        <w:spacing w:after="0"/>
        <w:ind w:left="0"/>
        <w:jc w:val="both"/>
      </w:pPr>
      <w:r>
        <w:rPr>
          <w:rFonts w:ascii="Times New Roman"/>
          <w:b w:val="false"/>
          <w:i w:val="false"/>
          <w:color w:val="000000"/>
          <w:sz w:val="28"/>
        </w:rPr>
        <w:t>
      ЗБПРi = (r1 * РЗi) + (r2 * ПОДi),</w:t>
      </w:r>
    </w:p>
    <w:bookmarkEnd w:id="95"/>
    <w:bookmarkStart w:name="z101" w:id="96"/>
    <w:p>
      <w:pPr>
        <w:spacing w:after="0"/>
        <w:ind w:left="0"/>
        <w:jc w:val="both"/>
      </w:pPr>
      <w:r>
        <w:rPr>
          <w:rFonts w:ascii="Times New Roman"/>
          <w:b w:val="false"/>
          <w:i w:val="false"/>
          <w:color w:val="000000"/>
          <w:sz w:val="28"/>
        </w:rPr>
        <w:t>
      где:</w:t>
      </w:r>
    </w:p>
    <w:bookmarkEnd w:id="96"/>
    <w:bookmarkStart w:name="z102" w:id="97"/>
    <w:p>
      <w:pPr>
        <w:spacing w:after="0"/>
        <w:ind w:left="0"/>
        <w:jc w:val="both"/>
      </w:pPr>
      <w:r>
        <w:rPr>
          <w:rFonts w:ascii="Times New Roman"/>
          <w:b w:val="false"/>
          <w:i w:val="false"/>
          <w:color w:val="000000"/>
          <w:sz w:val="28"/>
        </w:rPr>
        <w:t>
      ЗБПРi – расчетные затраты по бюджетным программам развития i-го сельского округа;</w:t>
      </w:r>
    </w:p>
    <w:bookmarkEnd w:id="97"/>
    <w:bookmarkStart w:name="z103" w:id="98"/>
    <w:p>
      <w:pPr>
        <w:spacing w:after="0"/>
        <w:ind w:left="0"/>
        <w:jc w:val="both"/>
      </w:pPr>
      <w:r>
        <w:rPr>
          <w:rFonts w:ascii="Times New Roman"/>
          <w:b w:val="false"/>
          <w:i w:val="false"/>
          <w:color w:val="000000"/>
          <w:sz w:val="28"/>
        </w:rPr>
        <w:t>
      РЗi – расчетные текущие затраты i-го сельского округа;</w:t>
      </w:r>
    </w:p>
    <w:bookmarkEnd w:id="98"/>
    <w:bookmarkStart w:name="z104" w:id="99"/>
    <w:p>
      <w:pPr>
        <w:spacing w:after="0"/>
        <w:ind w:left="0"/>
        <w:jc w:val="both"/>
      </w:pPr>
      <w:r>
        <w:rPr>
          <w:rFonts w:ascii="Times New Roman"/>
          <w:b w:val="false"/>
          <w:i w:val="false"/>
          <w:color w:val="000000"/>
          <w:sz w:val="28"/>
        </w:rPr>
        <w:t>
      ПОДi – прогнозные объемы доходов i-го сельского округа;</w:t>
      </w:r>
    </w:p>
    <w:bookmarkEnd w:id="99"/>
    <w:bookmarkStart w:name="z105" w:id="100"/>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bookmarkEnd w:id="100"/>
    <w:bookmarkStart w:name="z106" w:id="101"/>
    <w:p>
      <w:pPr>
        <w:spacing w:after="0"/>
        <w:ind w:left="0"/>
        <w:jc w:val="both"/>
      </w:pPr>
      <w:r>
        <w:rPr>
          <w:rFonts w:ascii="Times New Roman"/>
          <w:b w:val="false"/>
          <w:i w:val="false"/>
          <w:color w:val="000000"/>
          <w:sz w:val="28"/>
        </w:rPr>
        <w:t>
      r2 – величина процентного отношения затрат по бюджетным программам развития к прогнозному объему доходов бюджетов сельских округов.</w:t>
      </w:r>
    </w:p>
    <w:bookmarkEnd w:id="101"/>
    <w:bookmarkStart w:name="z107" w:id="102"/>
    <w:p>
      <w:pPr>
        <w:spacing w:after="0"/>
        <w:ind w:left="0"/>
        <w:jc w:val="both"/>
      </w:pPr>
      <w:r>
        <w:rPr>
          <w:rFonts w:ascii="Times New Roman"/>
          <w:b w:val="false"/>
          <w:i w:val="false"/>
          <w:color w:val="000000"/>
          <w:sz w:val="28"/>
        </w:rPr>
        <w:t>
      14. Величина коэффициентов r1 и r2 устанавливаются для определения объемов трансфертов общего характера между бюджетом Акжаикского района и бюджетами сельских округов решением районной бюджетной комиссии.</w:t>
      </w:r>
    </w:p>
    <w:bookmarkEnd w:id="102"/>
    <w:bookmarkStart w:name="z108" w:id="103"/>
    <w:p>
      <w:pPr>
        <w:spacing w:after="0"/>
        <w:ind w:left="0"/>
        <w:jc w:val="left"/>
      </w:pPr>
      <w:r>
        <w:rPr>
          <w:rFonts w:ascii="Times New Roman"/>
          <w:b/>
          <w:i w:val="false"/>
          <w:color w:val="000000"/>
        </w:rPr>
        <w:t xml:space="preserve"> Глава 7. Прогнозирование поступлений в местный бюджет</w:t>
      </w:r>
    </w:p>
    <w:bookmarkEnd w:id="103"/>
    <w:bookmarkStart w:name="z109" w:id="104"/>
    <w:p>
      <w:pPr>
        <w:spacing w:after="0"/>
        <w:ind w:left="0"/>
        <w:jc w:val="both"/>
      </w:pPr>
      <w:r>
        <w:rPr>
          <w:rFonts w:ascii="Times New Roman"/>
          <w:b w:val="false"/>
          <w:i w:val="false"/>
          <w:color w:val="000000"/>
          <w:sz w:val="28"/>
        </w:rPr>
        <w:t>
      15. Налоговые поступления:</w:t>
      </w:r>
    </w:p>
    <w:bookmarkEnd w:id="104"/>
    <w:bookmarkStart w:name="z110" w:id="105"/>
    <w:p>
      <w:pPr>
        <w:spacing w:after="0"/>
        <w:ind w:left="0"/>
        <w:jc w:val="both"/>
      </w:pPr>
      <w:r>
        <w:rPr>
          <w:rFonts w:ascii="Times New Roman"/>
          <w:b w:val="false"/>
          <w:i w:val="false"/>
          <w:color w:val="000000"/>
          <w:sz w:val="28"/>
        </w:rPr>
        <w:t>
      - Прогнозирование налоговых поступлений осуществляется следующими методами:</w:t>
      </w:r>
    </w:p>
    <w:bookmarkEnd w:id="105"/>
    <w:bookmarkStart w:name="z111" w:id="106"/>
    <w:p>
      <w:pPr>
        <w:spacing w:after="0"/>
        <w:ind w:left="0"/>
        <w:jc w:val="both"/>
      </w:pPr>
      <w:r>
        <w:rPr>
          <w:rFonts w:ascii="Times New Roman"/>
          <w:b w:val="false"/>
          <w:i w:val="false"/>
          <w:color w:val="000000"/>
          <w:sz w:val="28"/>
        </w:rPr>
        <w:t>
      1) прямой счет путем применения налоговых ставок к соответствующим налоговым базам по следующей формуле:</w:t>
      </w:r>
    </w:p>
    <w:bookmarkEnd w:id="106"/>
    <w:bookmarkStart w:name="z112" w:id="107"/>
    <w:p>
      <w:pPr>
        <w:spacing w:after="0"/>
        <w:ind w:left="0"/>
        <w:jc w:val="both"/>
      </w:pPr>
      <w:r>
        <w:rPr>
          <w:rFonts w:ascii="Times New Roman"/>
          <w:b w:val="false"/>
          <w:i w:val="false"/>
          <w:color w:val="000000"/>
          <w:sz w:val="28"/>
        </w:rPr>
        <w:t>
      P = NB * S, где:</w:t>
      </w:r>
    </w:p>
    <w:bookmarkEnd w:id="107"/>
    <w:bookmarkStart w:name="z113" w:id="108"/>
    <w:p>
      <w:pPr>
        <w:spacing w:after="0"/>
        <w:ind w:left="0"/>
        <w:jc w:val="both"/>
      </w:pPr>
      <w:r>
        <w:rPr>
          <w:rFonts w:ascii="Times New Roman"/>
          <w:b w:val="false"/>
          <w:i w:val="false"/>
          <w:color w:val="000000"/>
          <w:sz w:val="28"/>
        </w:rPr>
        <w:t>
      P – прогноз или оценка поступлений доходов;</w:t>
      </w:r>
    </w:p>
    <w:bookmarkEnd w:id="108"/>
    <w:bookmarkStart w:name="z114" w:id="109"/>
    <w:p>
      <w:pPr>
        <w:spacing w:after="0"/>
        <w:ind w:left="0"/>
        <w:jc w:val="both"/>
      </w:pPr>
      <w:r>
        <w:rPr>
          <w:rFonts w:ascii="Times New Roman"/>
          <w:b w:val="false"/>
          <w:i w:val="false"/>
          <w:color w:val="000000"/>
          <w:sz w:val="28"/>
        </w:rPr>
        <w:t>
      NB – налоговая база;</w:t>
      </w:r>
    </w:p>
    <w:bookmarkEnd w:id="109"/>
    <w:bookmarkStart w:name="z115" w:id="110"/>
    <w:p>
      <w:pPr>
        <w:spacing w:after="0"/>
        <w:ind w:left="0"/>
        <w:jc w:val="both"/>
      </w:pPr>
      <w:r>
        <w:rPr>
          <w:rFonts w:ascii="Times New Roman"/>
          <w:b w:val="false"/>
          <w:i w:val="false"/>
          <w:color w:val="000000"/>
          <w:sz w:val="28"/>
        </w:rPr>
        <w:t>
      S – ставка, установленная Налоговым кодексом;</w:t>
      </w:r>
    </w:p>
    <w:bookmarkEnd w:id="110"/>
    <w:bookmarkStart w:name="z116" w:id="111"/>
    <w:p>
      <w:pPr>
        <w:spacing w:after="0"/>
        <w:ind w:left="0"/>
        <w:jc w:val="both"/>
      </w:pPr>
      <w:r>
        <w:rPr>
          <w:rFonts w:ascii="Times New Roman"/>
          <w:b w:val="false"/>
          <w:i w:val="false"/>
          <w:color w:val="000000"/>
          <w:sz w:val="28"/>
        </w:rPr>
        <w:t>
      2) исходя из макроэкономических показателей и эффективной ставки по формуле:</w:t>
      </w:r>
    </w:p>
    <w:bookmarkEnd w:id="111"/>
    <w:bookmarkStart w:name="z117" w:id="112"/>
    <w:p>
      <w:pPr>
        <w:spacing w:after="0"/>
        <w:ind w:left="0"/>
        <w:jc w:val="both"/>
      </w:pPr>
      <w:r>
        <w:rPr>
          <w:rFonts w:ascii="Times New Roman"/>
          <w:b w:val="false"/>
          <w:i w:val="false"/>
          <w:color w:val="000000"/>
          <w:sz w:val="28"/>
        </w:rPr>
        <w:t>
      P = MP * Sотч</w:t>
      </w:r>
    </w:p>
    <w:bookmarkEnd w:id="112"/>
    <w:bookmarkStart w:name="z118" w:id="113"/>
    <w:p>
      <w:pPr>
        <w:spacing w:after="0"/>
        <w:ind w:left="0"/>
        <w:jc w:val="both"/>
      </w:pPr>
      <w:r>
        <w:rPr>
          <w:rFonts w:ascii="Times New Roman"/>
          <w:b w:val="false"/>
          <w:i w:val="false"/>
          <w:color w:val="000000"/>
          <w:sz w:val="28"/>
        </w:rPr>
        <w:t>
      Sотч = Pотч/MPотч * 100%, где:</w:t>
      </w:r>
    </w:p>
    <w:bookmarkEnd w:id="113"/>
    <w:bookmarkStart w:name="z119" w:id="114"/>
    <w:p>
      <w:pPr>
        <w:spacing w:after="0"/>
        <w:ind w:left="0"/>
        <w:jc w:val="both"/>
      </w:pPr>
      <w:r>
        <w:rPr>
          <w:rFonts w:ascii="Times New Roman"/>
          <w:b w:val="false"/>
          <w:i w:val="false"/>
          <w:color w:val="000000"/>
          <w:sz w:val="28"/>
        </w:rPr>
        <w:t>
      P – прогноз или оценка поступлений доходов;</w:t>
      </w:r>
    </w:p>
    <w:bookmarkEnd w:id="114"/>
    <w:bookmarkStart w:name="z120" w:id="115"/>
    <w:p>
      <w:pPr>
        <w:spacing w:after="0"/>
        <w:ind w:left="0"/>
        <w:jc w:val="both"/>
      </w:pPr>
      <w:r>
        <w:rPr>
          <w:rFonts w:ascii="Times New Roman"/>
          <w:b w:val="false"/>
          <w:i w:val="false"/>
          <w:color w:val="000000"/>
          <w:sz w:val="28"/>
        </w:rPr>
        <w:t>
      MP – параметры макроэкономических показателей;</w:t>
      </w:r>
    </w:p>
    <w:bookmarkEnd w:id="115"/>
    <w:bookmarkStart w:name="z121" w:id="116"/>
    <w:p>
      <w:pPr>
        <w:spacing w:after="0"/>
        <w:ind w:left="0"/>
        <w:jc w:val="both"/>
      </w:pPr>
      <w:r>
        <w:rPr>
          <w:rFonts w:ascii="Times New Roman"/>
          <w:b w:val="false"/>
          <w:i w:val="false"/>
          <w:color w:val="000000"/>
          <w:sz w:val="28"/>
        </w:rPr>
        <w:t>
      Sотч – эффективная ставка за отчетный финансовый год, %;</w:t>
      </w:r>
    </w:p>
    <w:bookmarkEnd w:id="116"/>
    <w:bookmarkStart w:name="z122" w:id="117"/>
    <w:p>
      <w:pPr>
        <w:spacing w:after="0"/>
        <w:ind w:left="0"/>
        <w:jc w:val="both"/>
      </w:pPr>
      <w:r>
        <w:rPr>
          <w:rFonts w:ascii="Times New Roman"/>
          <w:b w:val="false"/>
          <w:i w:val="false"/>
          <w:color w:val="000000"/>
          <w:sz w:val="28"/>
        </w:rPr>
        <w:t>
      Ротч – фактические поступления налогов за отчетный финансовый год;</w:t>
      </w:r>
    </w:p>
    <w:bookmarkEnd w:id="117"/>
    <w:bookmarkStart w:name="z123" w:id="118"/>
    <w:p>
      <w:pPr>
        <w:spacing w:after="0"/>
        <w:ind w:left="0"/>
        <w:jc w:val="both"/>
      </w:pPr>
      <w:r>
        <w:rPr>
          <w:rFonts w:ascii="Times New Roman"/>
          <w:b w:val="false"/>
          <w:i w:val="false"/>
          <w:color w:val="000000"/>
          <w:sz w:val="28"/>
        </w:rPr>
        <w:t>
      MPотч – параметры макроэкономических показателей за отчетный финансовый год;</w:t>
      </w:r>
    </w:p>
    <w:bookmarkEnd w:id="118"/>
    <w:bookmarkStart w:name="z124" w:id="119"/>
    <w:p>
      <w:pPr>
        <w:spacing w:after="0"/>
        <w:ind w:left="0"/>
        <w:jc w:val="both"/>
      </w:pPr>
      <w:r>
        <w:rPr>
          <w:rFonts w:ascii="Times New Roman"/>
          <w:b w:val="false"/>
          <w:i w:val="false"/>
          <w:color w:val="000000"/>
          <w:sz w:val="28"/>
        </w:rPr>
        <w:t>
      3) путем индексации фактических поступлений за отчетный финансовый год на уровень инфляции, по формуле:</w:t>
      </w:r>
    </w:p>
    <w:bookmarkEnd w:id="119"/>
    <w:bookmarkStart w:name="z125" w:id="120"/>
    <w:p>
      <w:pPr>
        <w:spacing w:after="0"/>
        <w:ind w:left="0"/>
        <w:jc w:val="both"/>
      </w:pPr>
      <w:r>
        <w:rPr>
          <w:rFonts w:ascii="Times New Roman"/>
          <w:b w:val="false"/>
          <w:i w:val="false"/>
          <w:color w:val="000000"/>
          <w:sz w:val="28"/>
        </w:rPr>
        <w:t>
      P = Pотч * (100% + I), где:</w:t>
      </w:r>
    </w:p>
    <w:bookmarkEnd w:id="120"/>
    <w:bookmarkStart w:name="z126" w:id="121"/>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bookmarkEnd w:id="121"/>
    <w:bookmarkStart w:name="z127" w:id="122"/>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bookmarkEnd w:id="122"/>
    <w:bookmarkStart w:name="z128" w:id="123"/>
    <w:p>
      <w:pPr>
        <w:spacing w:after="0"/>
        <w:ind w:left="0"/>
        <w:jc w:val="both"/>
      </w:pPr>
      <w:r>
        <w:rPr>
          <w:rFonts w:ascii="Times New Roman"/>
          <w:b w:val="false"/>
          <w:i w:val="false"/>
          <w:color w:val="000000"/>
          <w:sz w:val="28"/>
        </w:rPr>
        <w:t>
      I – уровень инфляции, %;</w:t>
      </w:r>
    </w:p>
    <w:bookmarkEnd w:id="123"/>
    <w:bookmarkStart w:name="z129" w:id="124"/>
    <w:p>
      <w:pPr>
        <w:spacing w:after="0"/>
        <w:ind w:left="0"/>
        <w:jc w:val="both"/>
      </w:pPr>
      <w:r>
        <w:rPr>
          <w:rFonts w:ascii="Times New Roman"/>
          <w:b w:val="false"/>
          <w:i w:val="false"/>
          <w:color w:val="000000"/>
          <w:sz w:val="28"/>
        </w:rPr>
        <w:t>
      4) усредненный расчҰт, осуществляемый на основании темпа роста годовых объемов доходов не менее чем за три года или за весь период поступления соответствующего вида доходов в случае, если он не превышает три года по формуле:</w:t>
      </w:r>
    </w:p>
    <w:bookmarkEnd w:id="124"/>
    <w:bookmarkStart w:name="z130" w:id="125"/>
    <w:p>
      <w:pPr>
        <w:spacing w:after="0"/>
        <w:ind w:left="0"/>
        <w:jc w:val="both"/>
      </w:pPr>
      <w:r>
        <w:rPr>
          <w:rFonts w:ascii="Times New Roman"/>
          <w:b w:val="false"/>
          <w:i w:val="false"/>
          <w:color w:val="000000"/>
          <w:sz w:val="28"/>
        </w:rPr>
        <w:t>
      P = Pотч * Trсрд, где:</w:t>
      </w:r>
    </w:p>
    <w:bookmarkEnd w:id="125"/>
    <w:bookmarkStart w:name="z131" w:id="126"/>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bookmarkEnd w:id="126"/>
    <w:bookmarkStart w:name="z132" w:id="127"/>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bookmarkEnd w:id="127"/>
    <w:bookmarkStart w:name="z133" w:id="128"/>
    <w:p>
      <w:pPr>
        <w:spacing w:after="0"/>
        <w:ind w:left="0"/>
        <w:jc w:val="both"/>
      </w:pPr>
      <w:r>
        <w:rPr>
          <w:rFonts w:ascii="Times New Roman"/>
          <w:b w:val="false"/>
          <w:i w:val="false"/>
          <w:color w:val="000000"/>
          <w:sz w:val="28"/>
        </w:rPr>
        <w:t>
      Trсрд – средний темп роста за три года, %,</w:t>
      </w:r>
    </w:p>
    <w:bookmarkEnd w:id="128"/>
    <w:bookmarkStart w:name="z134" w:id="129"/>
    <w:p>
      <w:pPr>
        <w:spacing w:after="0"/>
        <w:ind w:left="0"/>
        <w:jc w:val="both"/>
      </w:pPr>
      <w:r>
        <w:rPr>
          <w:rFonts w:ascii="Times New Roman"/>
          <w:b w:val="false"/>
          <w:i w:val="false"/>
          <w:color w:val="000000"/>
          <w:sz w:val="28"/>
        </w:rPr>
        <w:t>
      при этом:</w:t>
      </w:r>
    </w:p>
    <w:bookmarkEnd w:id="129"/>
    <w:bookmarkStart w:name="z135" w:id="130"/>
    <w:p>
      <w:pPr>
        <w:spacing w:after="0"/>
        <w:ind w:left="0"/>
        <w:jc w:val="both"/>
      </w:pPr>
      <w:r>
        <w:rPr>
          <w:rFonts w:ascii="Times New Roman"/>
          <w:b w:val="false"/>
          <w:i w:val="false"/>
          <w:color w:val="000000"/>
          <w:sz w:val="28"/>
        </w:rPr>
        <w:t>
      Trсрд = (Trотч(1год) + Trотч(2год) + Trотч(3год))/3, где:</w:t>
      </w:r>
    </w:p>
    <w:bookmarkEnd w:id="130"/>
    <w:bookmarkStart w:name="z136" w:id="131"/>
    <w:p>
      <w:pPr>
        <w:spacing w:after="0"/>
        <w:ind w:left="0"/>
        <w:jc w:val="both"/>
      </w:pPr>
      <w:r>
        <w:rPr>
          <w:rFonts w:ascii="Times New Roman"/>
          <w:b w:val="false"/>
          <w:i w:val="false"/>
          <w:color w:val="000000"/>
          <w:sz w:val="28"/>
        </w:rPr>
        <w:t>
      Trотч(1год) – темп роста поступлений первого года, %;</w:t>
      </w:r>
    </w:p>
    <w:bookmarkEnd w:id="131"/>
    <w:bookmarkStart w:name="z137" w:id="132"/>
    <w:p>
      <w:pPr>
        <w:spacing w:after="0"/>
        <w:ind w:left="0"/>
        <w:jc w:val="both"/>
      </w:pPr>
      <w:r>
        <w:rPr>
          <w:rFonts w:ascii="Times New Roman"/>
          <w:b w:val="false"/>
          <w:i w:val="false"/>
          <w:color w:val="000000"/>
          <w:sz w:val="28"/>
        </w:rPr>
        <w:t>
      Trотч(2год) – темп роста поступлений второго года, %;</w:t>
      </w:r>
    </w:p>
    <w:bookmarkEnd w:id="132"/>
    <w:bookmarkStart w:name="z138" w:id="133"/>
    <w:p>
      <w:pPr>
        <w:spacing w:after="0"/>
        <w:ind w:left="0"/>
        <w:jc w:val="both"/>
      </w:pPr>
      <w:r>
        <w:rPr>
          <w:rFonts w:ascii="Times New Roman"/>
          <w:b w:val="false"/>
          <w:i w:val="false"/>
          <w:color w:val="000000"/>
          <w:sz w:val="28"/>
        </w:rPr>
        <w:t>
      Trотч(3год) – темп роста поступлений третьего года, %;</w:t>
      </w:r>
    </w:p>
    <w:bookmarkEnd w:id="133"/>
    <w:bookmarkStart w:name="z139" w:id="134"/>
    <w:p>
      <w:pPr>
        <w:spacing w:after="0"/>
        <w:ind w:left="0"/>
        <w:jc w:val="both"/>
      </w:pPr>
      <w:r>
        <w:rPr>
          <w:rFonts w:ascii="Times New Roman"/>
          <w:b w:val="false"/>
          <w:i w:val="false"/>
          <w:color w:val="000000"/>
          <w:sz w:val="28"/>
        </w:rPr>
        <w:t>
      5) путем экстраполяции по формуле:</w:t>
      </w:r>
    </w:p>
    <w:bookmarkEnd w:id="134"/>
    <w:bookmarkStart w:name="z140" w:id="135"/>
    <w:p>
      <w:pPr>
        <w:spacing w:after="0"/>
        <w:ind w:left="0"/>
        <w:jc w:val="both"/>
      </w:pPr>
      <w:r>
        <w:rPr>
          <w:rFonts w:ascii="Times New Roman"/>
          <w:b w:val="false"/>
          <w:i w:val="false"/>
          <w:color w:val="000000"/>
          <w:sz w:val="28"/>
        </w:rPr>
        <w:t>
      P = Pотч + Sсрд, где:</w:t>
      </w:r>
    </w:p>
    <w:bookmarkEnd w:id="135"/>
    <w:bookmarkStart w:name="z141" w:id="136"/>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bookmarkEnd w:id="136"/>
    <w:bookmarkStart w:name="z142" w:id="137"/>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bookmarkEnd w:id="137"/>
    <w:bookmarkStart w:name="z143" w:id="138"/>
    <w:p>
      <w:pPr>
        <w:spacing w:after="0"/>
        <w:ind w:left="0"/>
        <w:jc w:val="both"/>
      </w:pPr>
      <w:r>
        <w:rPr>
          <w:rFonts w:ascii="Times New Roman"/>
          <w:b w:val="false"/>
          <w:i w:val="false"/>
          <w:color w:val="000000"/>
          <w:sz w:val="28"/>
        </w:rPr>
        <w:t>
      Sсрд – сумма прироста в среднем за три года,</w:t>
      </w:r>
    </w:p>
    <w:bookmarkEnd w:id="138"/>
    <w:bookmarkStart w:name="z144" w:id="139"/>
    <w:p>
      <w:pPr>
        <w:spacing w:after="0"/>
        <w:ind w:left="0"/>
        <w:jc w:val="both"/>
      </w:pPr>
      <w:r>
        <w:rPr>
          <w:rFonts w:ascii="Times New Roman"/>
          <w:b w:val="false"/>
          <w:i w:val="false"/>
          <w:color w:val="000000"/>
          <w:sz w:val="28"/>
        </w:rPr>
        <w:t>
      при этом:</w:t>
      </w:r>
    </w:p>
    <w:bookmarkEnd w:id="139"/>
    <w:bookmarkStart w:name="z145" w:id="140"/>
    <w:p>
      <w:pPr>
        <w:spacing w:after="0"/>
        <w:ind w:left="0"/>
        <w:jc w:val="both"/>
      </w:pPr>
      <w:r>
        <w:rPr>
          <w:rFonts w:ascii="Times New Roman"/>
          <w:b w:val="false"/>
          <w:i w:val="false"/>
          <w:color w:val="000000"/>
          <w:sz w:val="28"/>
        </w:rPr>
        <w:t>
      Sсрд = ((Sотч (1 год) - Sотч(пред.год)) + (Sотч (2 год) – Sотч (1 год)) + (Sотч(3 год) - Sотч(2 год)))/3, где:</w:t>
      </w:r>
    </w:p>
    <w:bookmarkEnd w:id="140"/>
    <w:bookmarkStart w:name="z146" w:id="141"/>
    <w:p>
      <w:pPr>
        <w:spacing w:after="0"/>
        <w:ind w:left="0"/>
        <w:jc w:val="both"/>
      </w:pPr>
      <w:r>
        <w:rPr>
          <w:rFonts w:ascii="Times New Roman"/>
          <w:b w:val="false"/>
          <w:i w:val="false"/>
          <w:color w:val="000000"/>
          <w:sz w:val="28"/>
        </w:rPr>
        <w:t>
      Sотч(пред.год) – сумма поступлений года, предшествующего первому году;</w:t>
      </w:r>
    </w:p>
    <w:bookmarkEnd w:id="141"/>
    <w:bookmarkStart w:name="z147" w:id="142"/>
    <w:p>
      <w:pPr>
        <w:spacing w:after="0"/>
        <w:ind w:left="0"/>
        <w:jc w:val="both"/>
      </w:pPr>
      <w:r>
        <w:rPr>
          <w:rFonts w:ascii="Times New Roman"/>
          <w:b w:val="false"/>
          <w:i w:val="false"/>
          <w:color w:val="000000"/>
          <w:sz w:val="28"/>
        </w:rPr>
        <w:t>
      Sотч(1год) – сумма поступлений первого года, предшествующего второму году;</w:t>
      </w:r>
    </w:p>
    <w:bookmarkEnd w:id="142"/>
    <w:bookmarkStart w:name="z148" w:id="143"/>
    <w:p>
      <w:pPr>
        <w:spacing w:after="0"/>
        <w:ind w:left="0"/>
        <w:jc w:val="both"/>
      </w:pPr>
      <w:r>
        <w:rPr>
          <w:rFonts w:ascii="Times New Roman"/>
          <w:b w:val="false"/>
          <w:i w:val="false"/>
          <w:color w:val="000000"/>
          <w:sz w:val="28"/>
        </w:rPr>
        <w:t>
      Sотч(2год) – сумма поступлений второго года, предшествующего третьему году;</w:t>
      </w:r>
    </w:p>
    <w:bookmarkEnd w:id="143"/>
    <w:bookmarkStart w:name="z149" w:id="144"/>
    <w:p>
      <w:pPr>
        <w:spacing w:after="0"/>
        <w:ind w:left="0"/>
        <w:jc w:val="both"/>
      </w:pPr>
      <w:r>
        <w:rPr>
          <w:rFonts w:ascii="Times New Roman"/>
          <w:b w:val="false"/>
          <w:i w:val="false"/>
          <w:color w:val="000000"/>
          <w:sz w:val="28"/>
        </w:rPr>
        <w:t>
      Sотч(3год) – сумма поступлений третьего года, предшествующего текущему финансовому году;</w:t>
      </w:r>
    </w:p>
    <w:bookmarkEnd w:id="144"/>
    <w:bookmarkStart w:name="z150" w:id="145"/>
    <w:p>
      <w:pPr>
        <w:spacing w:after="0"/>
        <w:ind w:left="0"/>
        <w:jc w:val="both"/>
      </w:pPr>
      <w:r>
        <w:rPr>
          <w:rFonts w:ascii="Times New Roman"/>
          <w:b w:val="false"/>
          <w:i w:val="false"/>
          <w:color w:val="000000"/>
          <w:sz w:val="28"/>
        </w:rPr>
        <w:t>
      6) по удельному весу фактических поступлений за определенный период в отчетном финансовом году, по формуле:</w:t>
      </w:r>
    </w:p>
    <w:bookmarkEnd w:id="145"/>
    <w:bookmarkStart w:name="z151" w:id="146"/>
    <w:p>
      <w:pPr>
        <w:spacing w:after="0"/>
        <w:ind w:left="0"/>
        <w:jc w:val="both"/>
      </w:pPr>
      <w:r>
        <w:rPr>
          <w:rFonts w:ascii="Times New Roman"/>
          <w:b w:val="false"/>
          <w:i w:val="false"/>
          <w:color w:val="000000"/>
          <w:sz w:val="28"/>
        </w:rPr>
        <w:t>
      Poц = Pф(тек)/Uотч</w:t>
      </w:r>
    </w:p>
    <w:bookmarkEnd w:id="146"/>
    <w:bookmarkStart w:name="z152" w:id="147"/>
    <w:p>
      <w:pPr>
        <w:spacing w:after="0"/>
        <w:ind w:left="0"/>
        <w:jc w:val="both"/>
      </w:pPr>
      <w:r>
        <w:rPr>
          <w:rFonts w:ascii="Times New Roman"/>
          <w:b w:val="false"/>
          <w:i w:val="false"/>
          <w:color w:val="000000"/>
          <w:sz w:val="28"/>
        </w:rPr>
        <w:t>
      Uотч = Pф(отч) /Pотч * 100, где:</w:t>
      </w:r>
    </w:p>
    <w:bookmarkEnd w:id="147"/>
    <w:bookmarkStart w:name="z153" w:id="148"/>
    <w:p>
      <w:pPr>
        <w:spacing w:after="0"/>
        <w:ind w:left="0"/>
        <w:jc w:val="both"/>
      </w:pPr>
      <w:r>
        <w:rPr>
          <w:rFonts w:ascii="Times New Roman"/>
          <w:b w:val="false"/>
          <w:i w:val="false"/>
          <w:color w:val="000000"/>
          <w:sz w:val="28"/>
        </w:rPr>
        <w:t>
      Poц – оценка поступлений по текущему финансовому году;</w:t>
      </w:r>
    </w:p>
    <w:bookmarkEnd w:id="148"/>
    <w:bookmarkStart w:name="z154" w:id="149"/>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bookmarkEnd w:id="149"/>
    <w:bookmarkStart w:name="z155" w:id="150"/>
    <w:p>
      <w:pPr>
        <w:spacing w:after="0"/>
        <w:ind w:left="0"/>
        <w:jc w:val="both"/>
      </w:pPr>
      <w:r>
        <w:rPr>
          <w:rFonts w:ascii="Times New Roman"/>
          <w:b w:val="false"/>
          <w:i w:val="false"/>
          <w:color w:val="000000"/>
          <w:sz w:val="28"/>
        </w:rPr>
        <w:t>
      Uотч – удельный вес аналогичного периода в отчетном финансовом году, %;</w:t>
      </w:r>
    </w:p>
    <w:bookmarkEnd w:id="150"/>
    <w:bookmarkStart w:name="z156" w:id="151"/>
    <w:p>
      <w:pPr>
        <w:spacing w:after="0"/>
        <w:ind w:left="0"/>
        <w:jc w:val="both"/>
      </w:pPr>
      <w:r>
        <w:rPr>
          <w:rFonts w:ascii="Times New Roman"/>
          <w:b w:val="false"/>
          <w:i w:val="false"/>
          <w:color w:val="000000"/>
          <w:sz w:val="28"/>
        </w:rPr>
        <w:t>
      Pф(отч) – фактические поступления за аналогичный период отчетного финансового года;</w:t>
      </w:r>
    </w:p>
    <w:bookmarkEnd w:id="151"/>
    <w:bookmarkStart w:name="z157" w:id="152"/>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152"/>
    <w:bookmarkStart w:name="z158" w:id="153"/>
    <w:p>
      <w:pPr>
        <w:spacing w:after="0"/>
        <w:ind w:left="0"/>
        <w:jc w:val="both"/>
      </w:pPr>
      <w:r>
        <w:rPr>
          <w:rFonts w:ascii="Times New Roman"/>
          <w:b w:val="false"/>
          <w:i w:val="false"/>
          <w:color w:val="000000"/>
          <w:sz w:val="28"/>
        </w:rPr>
        <w:t>
      7) по среднемесячному поступлению за определенный период по текущему финансовому году, по формуле:</w:t>
      </w:r>
    </w:p>
    <w:bookmarkEnd w:id="153"/>
    <w:bookmarkStart w:name="z159" w:id="154"/>
    <w:p>
      <w:pPr>
        <w:spacing w:after="0"/>
        <w:ind w:left="0"/>
        <w:jc w:val="both"/>
      </w:pPr>
      <w:r>
        <w:rPr>
          <w:rFonts w:ascii="Times New Roman"/>
          <w:b w:val="false"/>
          <w:i w:val="false"/>
          <w:color w:val="000000"/>
          <w:sz w:val="28"/>
        </w:rPr>
        <w:t>
      Poц = Pф(тек)/Kф(тек) * 12, где:</w:t>
      </w:r>
    </w:p>
    <w:bookmarkEnd w:id="154"/>
    <w:bookmarkStart w:name="z160" w:id="155"/>
    <w:p>
      <w:pPr>
        <w:spacing w:after="0"/>
        <w:ind w:left="0"/>
        <w:jc w:val="both"/>
      </w:pPr>
      <w:r>
        <w:rPr>
          <w:rFonts w:ascii="Times New Roman"/>
          <w:b w:val="false"/>
          <w:i w:val="false"/>
          <w:color w:val="000000"/>
          <w:sz w:val="28"/>
        </w:rPr>
        <w:t>
      Poц – оценка поступлений по текущему финансовому году;</w:t>
      </w:r>
    </w:p>
    <w:bookmarkEnd w:id="155"/>
    <w:bookmarkStart w:name="z161" w:id="156"/>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bookmarkEnd w:id="156"/>
    <w:bookmarkStart w:name="z162" w:id="157"/>
    <w:p>
      <w:pPr>
        <w:spacing w:after="0"/>
        <w:ind w:left="0"/>
        <w:jc w:val="both"/>
      </w:pPr>
      <w:r>
        <w:rPr>
          <w:rFonts w:ascii="Times New Roman"/>
          <w:b w:val="false"/>
          <w:i w:val="false"/>
          <w:color w:val="000000"/>
          <w:sz w:val="28"/>
        </w:rPr>
        <w:t>
      Kф(тек) – количество месяцев в определенном периоде текущего финансового года;</w:t>
      </w:r>
    </w:p>
    <w:bookmarkEnd w:id="157"/>
    <w:bookmarkStart w:name="z163" w:id="158"/>
    <w:p>
      <w:pPr>
        <w:spacing w:after="0"/>
        <w:ind w:left="0"/>
        <w:jc w:val="both"/>
      </w:pPr>
      <w:r>
        <w:rPr>
          <w:rFonts w:ascii="Times New Roman"/>
          <w:b w:val="false"/>
          <w:i w:val="false"/>
          <w:color w:val="000000"/>
          <w:sz w:val="28"/>
        </w:rPr>
        <w:t>
      12– количество месяцев в году.</w:t>
      </w:r>
    </w:p>
    <w:bookmarkEnd w:id="158"/>
    <w:bookmarkStart w:name="z164" w:id="159"/>
    <w:p>
      <w:pPr>
        <w:spacing w:after="0"/>
        <w:ind w:left="0"/>
        <w:jc w:val="both"/>
      </w:pPr>
      <w:r>
        <w:rPr>
          <w:rFonts w:ascii="Times New Roman"/>
          <w:b w:val="false"/>
          <w:i w:val="false"/>
          <w:color w:val="000000"/>
          <w:sz w:val="28"/>
        </w:rPr>
        <w:t>
      - При определении оценки поступлений по текущему финансовому году и эффективной ставки налога из фактических поступлений исключаются разовые платежи, носящие несистемный характер и не зависящие от производственной деятельности, в частности, крупные размеры годовых перерасчетов, полученных за счет временных факторов (колебания цен, структурных изменений), суммы, доначисленные по актам налоговых проверок.</w:t>
      </w:r>
    </w:p>
    <w:bookmarkEnd w:id="159"/>
    <w:bookmarkStart w:name="z165" w:id="160"/>
    <w:p>
      <w:pPr>
        <w:spacing w:after="0"/>
        <w:ind w:left="0"/>
        <w:jc w:val="both"/>
      </w:pPr>
      <w:r>
        <w:rPr>
          <w:rFonts w:ascii="Times New Roman"/>
          <w:b w:val="false"/>
          <w:i w:val="false"/>
          <w:color w:val="000000"/>
          <w:sz w:val="28"/>
        </w:rPr>
        <w:t>
      - В расчетах учитываются данные уполномоченных органов.</w:t>
      </w:r>
    </w:p>
    <w:bookmarkEnd w:id="160"/>
    <w:bookmarkStart w:name="z166" w:id="161"/>
    <w:p>
      <w:pPr>
        <w:spacing w:after="0"/>
        <w:ind w:left="0"/>
        <w:jc w:val="both"/>
      </w:pPr>
      <w:r>
        <w:rPr>
          <w:rFonts w:ascii="Times New Roman"/>
          <w:b w:val="false"/>
          <w:i w:val="false"/>
          <w:color w:val="000000"/>
          <w:sz w:val="28"/>
        </w:rPr>
        <w:t>
      16. Неналоговые поступления:</w:t>
      </w:r>
    </w:p>
    <w:bookmarkEnd w:id="161"/>
    <w:bookmarkStart w:name="z167" w:id="162"/>
    <w:p>
      <w:pPr>
        <w:spacing w:after="0"/>
        <w:ind w:left="0"/>
        <w:jc w:val="both"/>
      </w:pPr>
      <w:r>
        <w:rPr>
          <w:rFonts w:ascii="Times New Roman"/>
          <w:b w:val="false"/>
          <w:i w:val="false"/>
          <w:color w:val="000000"/>
          <w:sz w:val="28"/>
        </w:rPr>
        <w:t>
      - Неналоговые поступления прогнозируются исходя из анализа динамики по каждому виду неналоговых поступлений, оценки ожидаемого поступления текущего финансового года, скорректированной на уровень инфляции в прогнозируемом году, и используются прогнозные данные, представленные уполномоченными государственными органами.</w:t>
      </w:r>
    </w:p>
    <w:bookmarkEnd w:id="162"/>
    <w:bookmarkStart w:name="z168" w:id="163"/>
    <w:p>
      <w:pPr>
        <w:spacing w:after="0"/>
        <w:ind w:left="0"/>
        <w:jc w:val="both"/>
      </w:pPr>
      <w:r>
        <w:rPr>
          <w:rFonts w:ascii="Times New Roman"/>
          <w:b w:val="false"/>
          <w:i w:val="false"/>
          <w:color w:val="000000"/>
          <w:sz w:val="28"/>
        </w:rPr>
        <w:t>
      - Прогнозирование неналоговых поступлений в местные бюджеты в виде административных штрафов, пеней, санкций, взысканий, налагаемых государственными учреждениями, финансируемыми из республиканского или местных бюджетов, а также содержащимися и финансируемыми из бюджета (сметы расходов) Национального Банка Республики Казахстан, и (или) штрафов, пеней, санкций, взысканий по бюджетным кредитам (займам), выданным из бюджета, не осуществляется.</w:t>
      </w:r>
    </w:p>
    <w:bookmarkEnd w:id="163"/>
    <w:bookmarkStart w:name="z169" w:id="164"/>
    <w:p>
      <w:pPr>
        <w:spacing w:after="0"/>
        <w:ind w:left="0"/>
        <w:jc w:val="both"/>
      </w:pPr>
      <w:r>
        <w:rPr>
          <w:rFonts w:ascii="Times New Roman"/>
          <w:b w:val="false"/>
          <w:i w:val="false"/>
          <w:color w:val="000000"/>
          <w:sz w:val="28"/>
        </w:rPr>
        <w:t>
      17. Поступления от продажи основного капитала:</w:t>
      </w:r>
    </w:p>
    <w:bookmarkEnd w:id="164"/>
    <w:bookmarkStart w:name="z170" w:id="165"/>
    <w:p>
      <w:pPr>
        <w:spacing w:after="0"/>
        <w:ind w:left="0"/>
        <w:jc w:val="both"/>
      </w:pPr>
      <w:r>
        <w:rPr>
          <w:rFonts w:ascii="Times New Roman"/>
          <w:b w:val="false"/>
          <w:i w:val="false"/>
          <w:color w:val="000000"/>
          <w:sz w:val="28"/>
        </w:rPr>
        <w:t>
      - Прогнозирование поступлений от продажи земли и нематериальных активов, имущества, закрепленного за государственными учреждениями, за исключением поступлений от продажи гражданам квартир, осуществляется по данным уполномоченного органа или исходя из оценки ожидаемого поступления текущего финансового года, скорректированной на уровень инфляции в прогнозируемом году.</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Порядку расчетов прогнозных </w:t>
            </w:r>
            <w:r>
              <w:br/>
            </w:r>
            <w:r>
              <w:rPr>
                <w:rFonts w:ascii="Times New Roman"/>
                <w:b w:val="false"/>
                <w:i w:val="false"/>
                <w:color w:val="000000"/>
                <w:sz w:val="20"/>
              </w:rPr>
              <w:t xml:space="preserve">объемов доходов и затрат </w:t>
            </w:r>
            <w:r>
              <w:br/>
            </w:r>
            <w:r>
              <w:rPr>
                <w:rFonts w:ascii="Times New Roman"/>
                <w:b w:val="false"/>
                <w:i w:val="false"/>
                <w:color w:val="000000"/>
                <w:sz w:val="20"/>
              </w:rPr>
              <w:t xml:space="preserve">бюджетов сельских округов </w:t>
            </w:r>
            <w:r>
              <w:br/>
            </w:r>
            <w:r>
              <w:rPr>
                <w:rFonts w:ascii="Times New Roman"/>
                <w:b w:val="false"/>
                <w:i w:val="false"/>
                <w:color w:val="000000"/>
                <w:sz w:val="20"/>
              </w:rPr>
              <w:t>Акжаикского района</w:t>
            </w:r>
          </w:p>
        </w:tc>
      </w:tr>
    </w:tbl>
    <w:bookmarkStart w:name="z172" w:id="166"/>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урбанизации;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 и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(тысяча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плотности;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района культуры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 в том числе внутринаселенных пунктов и улиц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содержания дорог; учета продолжительности отопительного сезона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