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8ac6" w14:textId="6768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Ойшиликскому сельскому округа на 2022-2023 годы</w:t>
      </w:r>
    </w:p>
    <w:p>
      <w:pPr>
        <w:spacing w:after="0"/>
        <w:ind w:left="0"/>
        <w:jc w:val="both"/>
      </w:pPr>
      <w:r>
        <w:rPr>
          <w:rFonts w:ascii="Times New Roman"/>
          <w:b w:val="false"/>
          <w:i w:val="false"/>
          <w:color w:val="000000"/>
          <w:sz w:val="28"/>
        </w:rPr>
        <w:t>Решение Тарбагатайского районного маслихата Восточно-Казахстанской области от 31 декабря 2021 года № 13/33-VII</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от 20 февраля 2017 года,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Тарбагатайский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Ойшиликскому сельскому округу на 2022-2023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Тарбагатайского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Тарбагатайского районного </w:t>
            </w:r>
            <w:r>
              <w:br/>
            </w:r>
            <w:r>
              <w:rPr>
                <w:rFonts w:ascii="Times New Roman"/>
                <w:b w:val="false"/>
                <w:i w:val="false"/>
                <w:color w:val="000000"/>
                <w:sz w:val="20"/>
              </w:rPr>
              <w:t xml:space="preserve">маслихата </w:t>
            </w:r>
            <w:r>
              <w:br/>
            </w:r>
            <w:r>
              <w:rPr>
                <w:rFonts w:ascii="Times New Roman"/>
                <w:b w:val="false"/>
                <w:i w:val="false"/>
                <w:color w:val="000000"/>
                <w:sz w:val="20"/>
              </w:rPr>
              <w:t xml:space="preserve">от 31 декабря 2021 года </w:t>
            </w:r>
            <w:r>
              <w:br/>
            </w:r>
            <w:r>
              <w:rPr>
                <w:rFonts w:ascii="Times New Roman"/>
                <w:b w:val="false"/>
                <w:i w:val="false"/>
                <w:color w:val="000000"/>
                <w:sz w:val="20"/>
              </w:rPr>
              <w:t>№ 13/33-VII</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Ойшиликскому сельскому округу на 2022-2023 годы.</w:t>
      </w:r>
    </w:p>
    <w:bookmarkEnd w:id="3"/>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по Ойшиликскому сельскому округу на 2022-2023 годы (далее План)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Министерстве юстиции Республики Казахстан 28 апреля 2017 года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пастбищ.</w:t>
      </w:r>
    </w:p>
    <w:bookmarkEnd w:id="5"/>
    <w:bookmarkStart w:name="z13" w:id="6"/>
    <w:p>
      <w:pPr>
        <w:spacing w:after="0"/>
        <w:ind w:left="0"/>
        <w:jc w:val="both"/>
      </w:pPr>
      <w:r>
        <w:rPr>
          <w:rFonts w:ascii="Times New Roman"/>
          <w:b w:val="false"/>
          <w:i w:val="false"/>
          <w:color w:val="000000"/>
          <w:sz w:val="28"/>
        </w:rPr>
        <w:t>
      План содержит:</w:t>
      </w:r>
    </w:p>
    <w:bookmarkEnd w:id="6"/>
    <w:bookmarkStart w:name="z14" w:id="7"/>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7"/>
    <w:bookmarkStart w:name="z15" w:id="8"/>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8"/>
    <w:bookmarkStart w:name="z16" w:id="9"/>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9"/>
    <w:bookmarkStart w:name="z17" w:id="10"/>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(озҰрам, рекам, прудам, компаниям, оросительным и оросительным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0"/>
    <w:bookmarkStart w:name="z18" w:id="11"/>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1"/>
    <w:bookmarkStart w:name="z19" w:id="12"/>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2"/>
    <w:bookmarkStart w:name="z20" w:id="13"/>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3"/>
    <w:bookmarkStart w:name="z21" w:id="14"/>
    <w:p>
      <w:pPr>
        <w:spacing w:after="0"/>
        <w:ind w:left="0"/>
        <w:jc w:val="both"/>
      </w:pPr>
      <w:r>
        <w:rPr>
          <w:rFonts w:ascii="Times New Roman"/>
          <w:b w:val="false"/>
          <w:i w:val="false"/>
          <w:color w:val="000000"/>
          <w:sz w:val="28"/>
        </w:rPr>
        <w:t>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4"/>
    <w:bookmarkStart w:name="z22" w:id="15"/>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аредных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bookmarkEnd w:id="15"/>
    <w:bookmarkStart w:name="z23" w:id="16"/>
    <w:p>
      <w:pPr>
        <w:spacing w:after="0"/>
        <w:ind w:left="0"/>
        <w:jc w:val="both"/>
      </w:pPr>
      <w:r>
        <w:rPr>
          <w:rFonts w:ascii="Times New Roman"/>
          <w:b w:val="false"/>
          <w:i w:val="false"/>
          <w:color w:val="000000"/>
          <w:sz w:val="28"/>
        </w:rPr>
        <w:t>
      Общая площадь территорий округа114000 га, из них пастбищные земли 93480 га, орошаемые земли – 1142 га, сенокосные земли – 5553 гектаров.</w:t>
      </w:r>
    </w:p>
    <w:bookmarkEnd w:id="16"/>
    <w:bookmarkStart w:name="z24"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5" w:id="18"/>
    <w:p>
      <w:pPr>
        <w:spacing w:after="0"/>
        <w:ind w:left="0"/>
        <w:jc w:val="both"/>
      </w:pPr>
      <w:r>
        <w:rPr>
          <w:rFonts w:ascii="Times New Roman"/>
          <w:b w:val="false"/>
          <w:i w:val="false"/>
          <w:color w:val="000000"/>
          <w:sz w:val="28"/>
        </w:rPr>
        <w:t>
      Земли сельскохозяйственного назначения – 100175 га;</w:t>
      </w:r>
    </w:p>
    <w:bookmarkEnd w:id="18"/>
    <w:bookmarkStart w:name="z26" w:id="19"/>
    <w:p>
      <w:pPr>
        <w:spacing w:after="0"/>
        <w:ind w:left="0"/>
        <w:jc w:val="both"/>
      </w:pPr>
      <w:r>
        <w:rPr>
          <w:rFonts w:ascii="Times New Roman"/>
          <w:b w:val="false"/>
          <w:i w:val="false"/>
          <w:color w:val="000000"/>
          <w:sz w:val="28"/>
        </w:rPr>
        <w:t>
      Земли населенных пунктов – 16443га;</w:t>
      </w:r>
    </w:p>
    <w:bookmarkEnd w:id="19"/>
    <w:bookmarkStart w:name="z27" w:id="20"/>
    <w:p>
      <w:pPr>
        <w:spacing w:after="0"/>
        <w:ind w:left="0"/>
        <w:jc w:val="both"/>
      </w:pPr>
      <w:r>
        <w:rPr>
          <w:rFonts w:ascii="Times New Roman"/>
          <w:b w:val="false"/>
          <w:i w:val="false"/>
          <w:color w:val="000000"/>
          <w:sz w:val="28"/>
        </w:rPr>
        <w:t>
      В селедействуют 1 ветеринарный пункт, 2 убойных площадей,1 скотомогильник.</w:t>
      </w:r>
    </w:p>
    <w:bookmarkEnd w:id="20"/>
    <w:bookmarkStart w:name="z28" w:id="21"/>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статьи 13</w:t>
      </w:r>
      <w:r>
        <w:rPr>
          <w:rFonts w:ascii="Times New Roman"/>
          <w:b w:val="false"/>
          <w:i w:val="false"/>
          <w:color w:val="000000"/>
          <w:sz w:val="28"/>
        </w:rPr>
        <w:t xml:space="preserve"> Закона "О пастбищах" для разработки Плана по управлению пастбищами и их исполнению в целях рационального использования пастбищ, устойчивого обеспечения потребности в кормах и предотвращения процессов деградации пастбищ, ГУ "Аппарат Акима Ойшиликского сельского округа Тарбагатайского района" заключило договор с ТОО "ГеоСхема".</w:t>
      </w:r>
    </w:p>
    <w:bookmarkEnd w:id="21"/>
    <w:bookmarkStart w:name="z29" w:id="22"/>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bookmarkEnd w:id="22"/>
    <w:bookmarkStart w:name="z30" w:id="23"/>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bookmarkEnd w:id="23"/>
    <w:bookmarkStart w:name="z31" w:id="24"/>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bookmarkEnd w:id="24"/>
    <w:bookmarkStart w:name="z32" w:id="25"/>
    <w:p>
      <w:pPr>
        <w:spacing w:after="0"/>
        <w:ind w:left="0"/>
        <w:jc w:val="both"/>
      </w:pPr>
      <w:r>
        <w:rPr>
          <w:rFonts w:ascii="Times New Roman"/>
          <w:b w:val="false"/>
          <w:i w:val="false"/>
          <w:color w:val="000000"/>
          <w:sz w:val="28"/>
        </w:rPr>
        <w:t>
      При разработке и составлении Плана по управлению пастбищами и их использованию использовались следующие материалы: - планово картографический M l:25000 аэросъемки 1980 г. и дешифровки 1985 г.;</w:t>
      </w:r>
    </w:p>
    <w:bookmarkEnd w:id="25"/>
    <w:bookmarkStart w:name="z33" w:id="26"/>
    <w:p>
      <w:pPr>
        <w:spacing w:after="0"/>
        <w:ind w:left="0"/>
        <w:jc w:val="both"/>
      </w:pPr>
      <w:r>
        <w:rPr>
          <w:rFonts w:ascii="Times New Roman"/>
          <w:b w:val="false"/>
          <w:i w:val="false"/>
          <w:color w:val="000000"/>
          <w:sz w:val="28"/>
        </w:rPr>
        <w:t>
      - сведения о наличии скота и птицы, сельскохозяйственной техники и построек в домашних хозяйствах по сельским округам на 01.07. 2021г;</w:t>
      </w:r>
    </w:p>
    <w:bookmarkEnd w:id="26"/>
    <w:bookmarkStart w:name="z34" w:id="27"/>
    <w:p>
      <w:pPr>
        <w:spacing w:after="0"/>
        <w:ind w:left="0"/>
        <w:jc w:val="both"/>
      </w:pPr>
      <w:r>
        <w:rPr>
          <w:rFonts w:ascii="Times New Roman"/>
          <w:b w:val="false"/>
          <w:i w:val="false"/>
          <w:color w:val="000000"/>
          <w:sz w:val="28"/>
        </w:rPr>
        <w:t>
      - материалы геоботанического обследования 1980 г.;</w:t>
      </w:r>
    </w:p>
    <w:bookmarkEnd w:id="27"/>
    <w:bookmarkStart w:name="z35" w:id="28"/>
    <w:p>
      <w:pPr>
        <w:spacing w:after="0"/>
        <w:ind w:left="0"/>
        <w:jc w:val="both"/>
      </w:pPr>
      <w:r>
        <w:rPr>
          <w:rFonts w:ascii="Times New Roman"/>
          <w:b w:val="false"/>
          <w:i w:val="false"/>
          <w:color w:val="000000"/>
          <w:sz w:val="28"/>
        </w:rPr>
        <w:t>
      - инвентаризации обводненных пастбищ 1987 г.;</w:t>
      </w:r>
    </w:p>
    <w:bookmarkEnd w:id="28"/>
    <w:bookmarkStart w:name="z36" w:id="29"/>
    <w:p>
      <w:pPr>
        <w:spacing w:after="0"/>
        <w:ind w:left="0"/>
        <w:jc w:val="both"/>
      </w:pPr>
      <w:r>
        <w:rPr>
          <w:rFonts w:ascii="Times New Roman"/>
          <w:b w:val="false"/>
          <w:i w:val="false"/>
          <w:color w:val="000000"/>
          <w:sz w:val="28"/>
        </w:rPr>
        <w:t>
      При разработке показателей развития производства учитывался: - опыт ведения животноводства в Тарбагатайском районе осуществляющего свою производственную деятельность на основе научно обоснованной зональной системе животноводства.</w:t>
      </w:r>
    </w:p>
    <w:bookmarkEnd w:id="29"/>
    <w:bookmarkStart w:name="z37" w:id="30"/>
    <w:p>
      <w:pPr>
        <w:spacing w:after="0"/>
        <w:ind w:left="0"/>
        <w:jc w:val="both"/>
      </w:pPr>
      <w:r>
        <w:rPr>
          <w:rFonts w:ascii="Times New Roman"/>
          <w:b w:val="false"/>
          <w:i w:val="false"/>
          <w:color w:val="000000"/>
          <w:sz w:val="28"/>
        </w:rPr>
        <w:t>
      План по управлению пастбищами и их использованию состоит:</w:t>
      </w:r>
    </w:p>
    <w:bookmarkEnd w:id="30"/>
    <w:bookmarkStart w:name="z38" w:id="31"/>
    <w:p>
      <w:pPr>
        <w:spacing w:after="0"/>
        <w:ind w:left="0"/>
        <w:jc w:val="both"/>
      </w:pPr>
      <w:r>
        <w:rPr>
          <w:rFonts w:ascii="Times New Roman"/>
          <w:b w:val="false"/>
          <w:i w:val="false"/>
          <w:color w:val="000000"/>
          <w:sz w:val="28"/>
        </w:rPr>
        <w:t>
      - текстовая часть – пояснительная записка;</w:t>
      </w:r>
    </w:p>
    <w:bookmarkEnd w:id="31"/>
    <w:bookmarkStart w:name="z39" w:id="32"/>
    <w:p>
      <w:pPr>
        <w:spacing w:after="0"/>
        <w:ind w:left="0"/>
        <w:jc w:val="both"/>
      </w:pPr>
      <w:r>
        <w:rPr>
          <w:rFonts w:ascii="Times New Roman"/>
          <w:b w:val="false"/>
          <w:i w:val="false"/>
          <w:color w:val="000000"/>
          <w:sz w:val="28"/>
        </w:rPr>
        <w:t xml:space="preserve">
      - карта расположения пастбищ на территории сельского округа в </w:t>
      </w:r>
    </w:p>
    <w:bookmarkEnd w:id="32"/>
    <w:bookmarkStart w:name="z40" w:id="33"/>
    <w:p>
      <w:pPr>
        <w:spacing w:after="0"/>
        <w:ind w:left="0"/>
        <w:jc w:val="both"/>
      </w:pPr>
      <w:r>
        <w:rPr>
          <w:rFonts w:ascii="Times New Roman"/>
          <w:b w:val="false"/>
          <w:i w:val="false"/>
          <w:color w:val="000000"/>
          <w:sz w:val="28"/>
        </w:rPr>
        <w:t>
      М 1: 50 000;</w:t>
      </w:r>
    </w:p>
    <w:bookmarkEnd w:id="33"/>
    <w:bookmarkStart w:name="z41" w:id="34"/>
    <w:p>
      <w:pPr>
        <w:spacing w:after="0"/>
        <w:ind w:left="0"/>
        <w:jc w:val="both"/>
      </w:pPr>
      <w:r>
        <w:rPr>
          <w:rFonts w:ascii="Times New Roman"/>
          <w:b w:val="false"/>
          <w:i w:val="false"/>
          <w:color w:val="000000"/>
          <w:sz w:val="28"/>
        </w:rPr>
        <w:t>
      - приемлемые схемы пастбищеоборотов;</w:t>
      </w:r>
    </w:p>
    <w:bookmarkEnd w:id="34"/>
    <w:bookmarkStart w:name="z42" w:id="35"/>
    <w:p>
      <w:pPr>
        <w:spacing w:after="0"/>
        <w:ind w:left="0"/>
        <w:jc w:val="both"/>
      </w:pPr>
      <w:r>
        <w:rPr>
          <w:rFonts w:ascii="Times New Roman"/>
          <w:b w:val="false"/>
          <w:i w:val="false"/>
          <w:color w:val="000000"/>
          <w:sz w:val="28"/>
        </w:rPr>
        <w:t>
      - карта внешних и внутренних границ и площадей пастбищ, в том числе сезонных, объектов пастбищной инфраструктуры;</w:t>
      </w:r>
    </w:p>
    <w:bookmarkEnd w:id="35"/>
    <w:bookmarkStart w:name="z43" w:id="36"/>
    <w:p>
      <w:pPr>
        <w:spacing w:after="0"/>
        <w:ind w:left="0"/>
        <w:jc w:val="both"/>
      </w:pPr>
      <w:r>
        <w:rPr>
          <w:rFonts w:ascii="Times New Roman"/>
          <w:b w:val="false"/>
          <w:i w:val="false"/>
          <w:color w:val="000000"/>
          <w:sz w:val="28"/>
        </w:rPr>
        <w:t>
      - схема размещения поголовья сельскохозяйственных животных на отгонных пастбищах физических лиц, не обеспеченных пастбищами, расположенными в сельском округе.</w:t>
      </w:r>
    </w:p>
    <w:bookmarkEnd w:id="36"/>
    <w:bookmarkStart w:name="z44" w:id="37"/>
    <w:p>
      <w:pPr>
        <w:spacing w:after="0"/>
        <w:ind w:left="0"/>
        <w:jc w:val="left"/>
      </w:pPr>
      <w:r>
        <w:rPr>
          <w:rFonts w:ascii="Times New Roman"/>
          <w:b/>
          <w:i w:val="false"/>
          <w:color w:val="000000"/>
        </w:rPr>
        <w:t xml:space="preserve"> 1. ОБЩИЕ СВЕДЕНИЯ</w:t>
      </w:r>
    </w:p>
    <w:bookmarkEnd w:id="37"/>
    <w:bookmarkStart w:name="z45" w:id="38"/>
    <w:p>
      <w:pPr>
        <w:spacing w:after="0"/>
        <w:ind w:left="0"/>
        <w:jc w:val="both"/>
      </w:pPr>
      <w:r>
        <w:rPr>
          <w:rFonts w:ascii="Times New Roman"/>
          <w:b w:val="false"/>
          <w:i w:val="false"/>
          <w:color w:val="000000"/>
          <w:sz w:val="28"/>
        </w:rPr>
        <w:t>
      Ойшиликский сельский округ расположен в центральной части Тарбагатайского района, его площадь 114,8 тысяч га, что составляет 4,84 % от площади района.</w:t>
      </w:r>
    </w:p>
    <w:bookmarkEnd w:id="38"/>
    <w:bookmarkStart w:name="z46" w:id="39"/>
    <w:p>
      <w:pPr>
        <w:spacing w:after="0"/>
        <w:ind w:left="0"/>
        <w:jc w:val="both"/>
      </w:pPr>
      <w:r>
        <w:rPr>
          <w:rFonts w:ascii="Times New Roman"/>
          <w:b w:val="false"/>
          <w:i w:val="false"/>
          <w:color w:val="000000"/>
          <w:sz w:val="28"/>
        </w:rPr>
        <w:t>
      На западе и севере сельский округ граничит с землями Екпинского сельского округа, на юге граничит с землями КНР, на востоке граничит с землями Карасуйского и Куйгаского сельских округов.</w:t>
      </w:r>
    </w:p>
    <w:bookmarkEnd w:id="39"/>
    <w:bookmarkStart w:name="z47" w:id="40"/>
    <w:p>
      <w:pPr>
        <w:spacing w:after="0"/>
        <w:ind w:left="0"/>
        <w:jc w:val="both"/>
      </w:pPr>
      <w:r>
        <w:rPr>
          <w:rFonts w:ascii="Times New Roman"/>
          <w:b w:val="false"/>
          <w:i w:val="false"/>
          <w:color w:val="000000"/>
          <w:sz w:val="28"/>
        </w:rPr>
        <w:t>
      Центром сельского округа является село Ойшилик расположенное в 32 км от районного центра с. Аксуат.</w:t>
      </w:r>
    </w:p>
    <w:bookmarkEnd w:id="40"/>
    <w:bookmarkStart w:name="z48" w:id="41"/>
    <w:p>
      <w:pPr>
        <w:spacing w:after="0"/>
        <w:ind w:left="0"/>
        <w:jc w:val="both"/>
      </w:pPr>
      <w:r>
        <w:rPr>
          <w:rFonts w:ascii="Times New Roman"/>
          <w:b w:val="false"/>
          <w:i w:val="false"/>
          <w:color w:val="000000"/>
          <w:sz w:val="28"/>
        </w:rPr>
        <w:t>
      Согласно административно-территориальному делению на территория сельского округа расположено 6 сельских населенных пункта: - с. Ойшилик, а. Тана Мырза, с. Есим, с. Айнабастау, с. Акжол, с. Томар.</w:t>
      </w:r>
    </w:p>
    <w:bookmarkEnd w:id="41"/>
    <w:bookmarkStart w:name="z49" w:id="42"/>
    <w:p>
      <w:pPr>
        <w:spacing w:after="0"/>
        <w:ind w:left="0"/>
        <w:jc w:val="both"/>
      </w:pPr>
      <w:r>
        <w:rPr>
          <w:rFonts w:ascii="Times New Roman"/>
          <w:b w:val="false"/>
          <w:i w:val="false"/>
          <w:color w:val="000000"/>
          <w:sz w:val="28"/>
        </w:rPr>
        <w:t>
      Транспортная связь с райцентром осуществляется по автодороге местного значения Аксуат – Ойшилик.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bookmarkEnd w:id="42"/>
    <w:bookmarkStart w:name="z50" w:id="43"/>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5540 голов крупного рогатого скота, 1398 голов лошадей, 11803 головы овец и 2815 голов коз.</w:t>
      </w:r>
    </w:p>
    <w:bookmarkEnd w:id="43"/>
    <w:bookmarkStart w:name="z51" w:id="44"/>
    <w:p>
      <w:pPr>
        <w:spacing w:after="0"/>
        <w:ind w:left="0"/>
        <w:jc w:val="left"/>
      </w:pPr>
      <w:r>
        <w:rPr>
          <w:rFonts w:ascii="Times New Roman"/>
          <w:b/>
          <w:i w:val="false"/>
          <w:color w:val="000000"/>
        </w:rPr>
        <w:t xml:space="preserve"> 2. РАСТИТЕЛЬНОСТЬ</w:t>
      </w:r>
    </w:p>
    <w:bookmarkEnd w:id="44"/>
    <w:bookmarkStart w:name="z52" w:id="45"/>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End w:id="45"/>
    <w:bookmarkStart w:name="z53" w:id="46"/>
    <w:p>
      <w:pPr>
        <w:spacing w:after="0"/>
        <w:ind w:left="0"/>
        <w:jc w:val="both"/>
      </w:pPr>
      <w:r>
        <w:rPr>
          <w:rFonts w:ascii="Times New Roman"/>
          <w:b w:val="false"/>
          <w:i w:val="false"/>
          <w:color w:val="000000"/>
          <w:sz w:val="28"/>
        </w:rPr>
        <w:t>
      1.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ее высота до 30-40см. Урожайность сухой растительной массы 3- 4 ц/га.</w:t>
      </w:r>
    </w:p>
    <w:bookmarkEnd w:id="46"/>
    <w:bookmarkStart w:name="z54" w:id="47"/>
    <w:p>
      <w:pPr>
        <w:spacing w:after="0"/>
        <w:ind w:left="0"/>
        <w:jc w:val="both"/>
      </w:pPr>
      <w:r>
        <w:rPr>
          <w:rFonts w:ascii="Times New Roman"/>
          <w:b w:val="false"/>
          <w:i w:val="false"/>
          <w:color w:val="000000"/>
          <w:sz w:val="28"/>
        </w:rPr>
        <w:t>
      2.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 ее высота до 10-30 см. Урожайность сухой растительной массы 1- 4 ц/га.</w:t>
      </w:r>
    </w:p>
    <w:bookmarkEnd w:id="47"/>
    <w:bookmarkStart w:name="z55" w:id="48"/>
    <w:p>
      <w:pPr>
        <w:spacing w:after="0"/>
        <w:ind w:left="0"/>
        <w:jc w:val="left"/>
      </w:pPr>
      <w:r>
        <w:rPr>
          <w:rFonts w:ascii="Times New Roman"/>
          <w:b/>
          <w:i w:val="false"/>
          <w:color w:val="000000"/>
        </w:rPr>
        <w:t xml:space="preserve"> 3. ОРГАНИЗАЦИЯ ТЕРРИТОРИИ ПАСТБИЩ</w:t>
      </w:r>
    </w:p>
    <w:bookmarkEnd w:id="48"/>
    <w:bookmarkStart w:name="z56" w:id="49"/>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bookmarkEnd w:id="49"/>
    <w:bookmarkStart w:name="z57" w:id="50"/>
    <w:p>
      <w:pPr>
        <w:spacing w:after="0"/>
        <w:ind w:left="0"/>
        <w:jc w:val="both"/>
      </w:pPr>
      <w:r>
        <w:rPr>
          <w:rFonts w:ascii="Times New Roman"/>
          <w:b w:val="false"/>
          <w:i w:val="false"/>
          <w:color w:val="000000"/>
          <w:sz w:val="28"/>
        </w:rPr>
        <w:t xml:space="preserve">
      Основой рационального использования естественных пастбищ является пастбищеоборот. </w:t>
      </w:r>
    </w:p>
    <w:bookmarkEnd w:id="50"/>
    <w:bookmarkStart w:name="z58" w:id="51"/>
    <w:p>
      <w:pPr>
        <w:spacing w:after="0"/>
        <w:ind w:left="0"/>
        <w:jc w:val="both"/>
      </w:pPr>
      <w:r>
        <w:rPr>
          <w:rFonts w:ascii="Times New Roman"/>
          <w:b w:val="false"/>
          <w:i w:val="false"/>
          <w:color w:val="000000"/>
          <w:sz w:val="28"/>
        </w:rPr>
        <w:t>
      Пастбищоборот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bookmarkEnd w:id="51"/>
    <w:bookmarkStart w:name="z59" w:id="52"/>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bookmarkEnd w:id="52"/>
    <w:bookmarkStart w:name="z60" w:id="53"/>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bookmarkEnd w:id="53"/>
    <w:bookmarkStart w:name="z61" w:id="54"/>
    <w:p>
      <w:pPr>
        <w:spacing w:after="0"/>
        <w:ind w:left="0"/>
        <w:jc w:val="both"/>
      </w:pPr>
      <w:r>
        <w:rPr>
          <w:rFonts w:ascii="Times New Roman"/>
          <w:b w:val="false"/>
          <w:i w:val="false"/>
          <w:color w:val="000000"/>
          <w:sz w:val="28"/>
        </w:rPr>
        <w:t>
      Для различных природных зон и типов пастбищ Казахстана Институтом лугов и пастбищ разработаны соответствующие схемы пастбишеоборота.</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3" w:id="55"/>
    <w:p>
      <w:pPr>
        <w:spacing w:after="0"/>
        <w:ind w:left="0"/>
        <w:jc w:val="left"/>
      </w:pPr>
      <w:r>
        <w:rPr>
          <w:rFonts w:ascii="Times New Roman"/>
          <w:b/>
          <w:i w:val="false"/>
          <w:color w:val="000000"/>
        </w:rPr>
        <w:t xml:space="preserve"> Схема пятипольного пастбищеоборота на весенне-летне-осенних пастбищах</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Отдых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5" w:id="56"/>
    <w:p>
      <w:pPr>
        <w:spacing w:after="0"/>
        <w:ind w:left="0"/>
        <w:jc w:val="left"/>
      </w:pPr>
      <w:r>
        <w:rPr>
          <w:rFonts w:ascii="Times New Roman"/>
          <w:b/>
          <w:i w:val="false"/>
          <w:color w:val="000000"/>
        </w:rPr>
        <w:t xml:space="preserve"> Схема четырехпольного пастбищеоборота на летних пастбищах</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7" w:id="57"/>
    <w:p>
      <w:pPr>
        <w:spacing w:after="0"/>
        <w:ind w:left="0"/>
        <w:jc w:val="left"/>
      </w:pPr>
      <w:r>
        <w:rPr>
          <w:rFonts w:ascii="Times New Roman"/>
          <w:b/>
          <w:i w:val="false"/>
          <w:color w:val="000000"/>
        </w:rPr>
        <w:t xml:space="preserve"> Схема четырехпольного пастбищеоборота на зимних пастбищах</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bookmarkStart w:name="z68" w:id="58"/>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 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bookmarkEnd w:id="58"/>
    <w:bookmarkStart w:name="z69" w:id="59"/>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bookmarkEnd w:id="59"/>
    <w:bookmarkStart w:name="z70" w:id="60"/>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bookmarkEnd w:id="60"/>
    <w:bookmarkStart w:name="z71" w:id="61"/>
    <w:p>
      <w:pPr>
        <w:spacing w:after="0"/>
        <w:ind w:left="0"/>
        <w:jc w:val="both"/>
      </w:pPr>
      <w:r>
        <w:rPr>
          <w:rFonts w:ascii="Times New Roman"/>
          <w:b w:val="false"/>
          <w:i w:val="false"/>
          <w:color w:val="000000"/>
          <w:sz w:val="28"/>
        </w:rPr>
        <w:t xml:space="preserve">
      Загонная пастьба способствует оздоровлению пастбищ и является профилактическим мероприятием в борьбе с глистными заболеваниями. </w:t>
      </w:r>
    </w:p>
    <w:bookmarkEnd w:id="61"/>
    <w:bookmarkStart w:name="z72" w:id="62"/>
    <w:p>
      <w:pPr>
        <w:spacing w:after="0"/>
        <w:ind w:left="0"/>
        <w:jc w:val="both"/>
      </w:pPr>
      <w:r>
        <w:rPr>
          <w:rFonts w:ascii="Times New Roman"/>
          <w:b w:val="false"/>
          <w:i w:val="false"/>
          <w:color w:val="000000"/>
          <w:sz w:val="28"/>
        </w:rPr>
        <w:t>
      Количество загонов их размер и конфигурация, а также размещение их в границах каждого поля пастбищеоборота зависит от типа пастбищ, вида выпасаемых животных и конкретных организационно-хозяйственных условий.</w:t>
      </w:r>
    </w:p>
    <w:bookmarkEnd w:id="62"/>
    <w:bookmarkStart w:name="z73" w:id="63"/>
    <w:p>
      <w:pPr>
        <w:spacing w:after="0"/>
        <w:ind w:left="0"/>
        <w:jc w:val="both"/>
      </w:pPr>
      <w:r>
        <w:rPr>
          <w:rFonts w:ascii="Times New Roman"/>
          <w:b w:val="false"/>
          <w:i w:val="false"/>
          <w:color w:val="000000"/>
          <w:sz w:val="28"/>
        </w:rPr>
        <w:t xml:space="preserve">
      Исходя из наличия поголовья животных в домашних хозяйствах на 1 июля 2021 года, по данным предоставленным акимом сельского округа с учетом норм кормления и удельного содержания пастбищного корма в рационе кормления, а также кормоемкости пастбищных угодий, принятых по материалам геоботанического обследования 1987 года, рассчитаны площади пастбищ, необходимых для обеспечения имеющегося поголовья животных пастбищным кормом (таблица 4). </w:t>
      </w:r>
    </w:p>
    <w:bookmarkEnd w:id="63"/>
    <w:bookmarkStart w:name="z74" w:id="64"/>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 км, для лошадей – 8 км.</w:t>
      </w:r>
    </w:p>
    <w:bookmarkEnd w:id="64"/>
    <w:bookmarkStart w:name="z75" w:id="65"/>
    <w:p>
      <w:pPr>
        <w:spacing w:after="0"/>
        <w:ind w:left="0"/>
        <w:jc w:val="both"/>
      </w:pPr>
      <w:r>
        <w:rPr>
          <w:rFonts w:ascii="Times New Roman"/>
          <w:b w:val="false"/>
          <w:i w:val="false"/>
          <w:color w:val="000000"/>
          <w:sz w:val="28"/>
        </w:rPr>
        <w:t xml:space="preserve">
      Кроме того, учтено допустимое поголовье животных, обслуживаемое одним водопойным пунктом: - 250 голов КРС или лошадей, - 2000 голов овец. </w:t>
      </w:r>
    </w:p>
    <w:bookmarkEnd w:id="65"/>
    <w:bookmarkStart w:name="z76" w:id="66"/>
    <w:p>
      <w:pPr>
        <w:spacing w:after="0"/>
        <w:ind w:left="0"/>
        <w:jc w:val="both"/>
      </w:pPr>
      <w:r>
        <w:rPr>
          <w:rFonts w:ascii="Times New Roman"/>
          <w:b w:val="false"/>
          <w:i w:val="false"/>
          <w:color w:val="000000"/>
          <w:sz w:val="28"/>
        </w:rPr>
        <w:t>
      На рассматриваемой территории имеются трубчатые и шахтные колодцы за счет которых обводнены зимние пастбища.</w:t>
      </w:r>
    </w:p>
    <w:bookmarkEnd w:id="66"/>
    <w:bookmarkStart w:name="z77" w:id="67"/>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bookmarkEnd w:id="67"/>
    <w:bookmarkStart w:name="z78" w:id="68"/>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bookmarkEnd w:id="68"/>
    <w:bookmarkStart w:name="z79" w:id="69"/>
    <w:p>
      <w:pPr>
        <w:spacing w:after="0"/>
        <w:ind w:left="0"/>
        <w:jc w:val="both"/>
      </w:pPr>
      <w:r>
        <w:rPr>
          <w:rFonts w:ascii="Times New Roman"/>
          <w:b w:val="false"/>
          <w:i w:val="false"/>
          <w:color w:val="000000"/>
          <w:sz w:val="28"/>
        </w:rPr>
        <w:t>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1398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В хозяйствах района разводят ряд отродий казахской лошади, из них основным является тип "Джабе". Казахская лошадь "Джабе" - крупного и компактного сложения. Система содержания лошадей – конюшенно-пастбищная. Продолжительность пастбищного периода составляет 300-320 дней.</w:t>
      </w:r>
    </w:p>
    <w:bookmarkEnd w:id="69"/>
    <w:bookmarkStart w:name="z80" w:id="70"/>
    <w:p>
      <w:pPr>
        <w:spacing w:after="0"/>
        <w:ind w:left="0"/>
        <w:jc w:val="both"/>
      </w:pPr>
      <w:r>
        <w:rPr>
          <w:rFonts w:ascii="Times New Roman"/>
          <w:b w:val="false"/>
          <w:i w:val="false"/>
          <w:color w:val="000000"/>
          <w:sz w:val="28"/>
        </w:rPr>
        <w:t xml:space="preserve">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14618 голов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В районе выращивают овец Алтайской и Эдильбаевской пород. Система содержания овец – полустойловая, при которой овец пасут круглый год, но в зимний и ранневесенний периоды ежедневно подкармливают сеном и концкормами. </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2" w:id="71"/>
    <w:p>
      <w:pPr>
        <w:spacing w:after="0"/>
        <w:ind w:left="0"/>
        <w:jc w:val="left"/>
      </w:pPr>
      <w:r>
        <w:rPr>
          <w:rFonts w:ascii="Times New Roman"/>
          <w:b/>
          <w:i w:val="false"/>
          <w:color w:val="000000"/>
        </w:rPr>
        <w:t xml:space="preserve"> Расчет потребности пастбищ для выпаса сельскохозяйственных животных по сельскому округу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Наименование</w:t>
            </w:r>
          </w:p>
          <w:bookmarkEnd w:id="72"/>
          <w:p>
            <w:pPr>
              <w:spacing w:after="20"/>
              <w:ind w:left="20"/>
              <w:jc w:val="both"/>
            </w:pPr>
            <w:r>
              <w:rPr>
                <w:rFonts w:ascii="Times New Roman"/>
                <w:b w:val="false"/>
                <w:i w:val="false"/>
                <w:color w:val="000000"/>
                <w:sz w:val="20"/>
              </w:rPr>
              <w:t>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Виды</w:t>
            </w:r>
          </w:p>
          <w:bookmarkEnd w:id="73"/>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Коли-чест-во</w:t>
            </w:r>
          </w:p>
          <w:bookmarkEnd w:id="74"/>
          <w:p>
            <w:pPr>
              <w:spacing w:after="20"/>
              <w:ind w:left="20"/>
              <w:jc w:val="both"/>
            </w:pPr>
            <w:r>
              <w:rPr>
                <w:rFonts w:ascii="Times New Roman"/>
                <w:b w:val="false"/>
                <w:i w:val="false"/>
                <w:color w:val="000000"/>
                <w:sz w:val="20"/>
              </w:rPr>
              <w:t>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Выход пастбищных кор-мов с</w:t>
            </w:r>
          </w:p>
          <w:bookmarkEnd w:id="75"/>
          <w:p>
            <w:pPr>
              <w:spacing w:after="20"/>
              <w:ind w:left="20"/>
              <w:jc w:val="both"/>
            </w:pPr>
            <w:r>
              <w:rPr>
                <w:rFonts w:ascii="Times New Roman"/>
                <w:b w:val="false"/>
                <w:i w:val="false"/>
                <w:color w:val="000000"/>
                <w:sz w:val="20"/>
              </w:rPr>
              <w:t>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Ойшиликский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w:t>
            </w:r>
          </w:p>
          <w:bookmarkEnd w:id="76"/>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w:t>
            </w:r>
          </w:p>
          <w:bookmarkEnd w:id="77"/>
          <w:p>
            <w:pPr>
              <w:spacing w:after="20"/>
              <w:ind w:left="20"/>
              <w:jc w:val="both"/>
            </w:pPr>
            <w:r>
              <w:rPr>
                <w:rFonts w:ascii="Times New Roman"/>
                <w:b w:val="false"/>
                <w:i w:val="false"/>
                <w:color w:val="000000"/>
                <w:sz w:val="20"/>
              </w:rPr>
              <w:t>
5540</w:t>
            </w:r>
          </w:p>
          <w:p>
            <w:pPr>
              <w:spacing w:after="20"/>
              <w:ind w:left="20"/>
              <w:jc w:val="both"/>
            </w:pPr>
            <w:r>
              <w:rPr>
                <w:rFonts w:ascii="Times New Roman"/>
                <w:b w:val="false"/>
                <w:i w:val="false"/>
                <w:color w:val="000000"/>
                <w:sz w:val="20"/>
              </w:rPr>
              <w:t>
</w:t>
            </w:r>
            <w:r>
              <w:rPr>
                <w:rFonts w:ascii="Times New Roman"/>
                <w:b w:val="false"/>
                <w:i w:val="false"/>
                <w:color w:val="000000"/>
                <w:sz w:val="20"/>
              </w:rPr>
              <w:t>14618</w:t>
            </w:r>
          </w:p>
          <w:p>
            <w:pPr>
              <w:spacing w:after="20"/>
              <w:ind w:left="20"/>
              <w:jc w:val="both"/>
            </w:pPr>
            <w:r>
              <w:rPr>
                <w:rFonts w:ascii="Times New Roman"/>
                <w:b w:val="false"/>
                <w:i w:val="false"/>
                <w:color w:val="000000"/>
                <w:sz w:val="20"/>
              </w:rPr>
              <w:t>
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w:t>
            </w:r>
          </w:p>
          <w:bookmarkEnd w:id="78"/>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430690</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221600</w:t>
            </w:r>
          </w:p>
          <w:p>
            <w:pPr>
              <w:spacing w:after="20"/>
              <w:ind w:left="20"/>
              <w:jc w:val="both"/>
            </w:pPr>
            <w:r>
              <w:rPr>
                <w:rFonts w:ascii="Times New Roman"/>
                <w:b w:val="false"/>
                <w:i w:val="false"/>
                <w:color w:val="000000"/>
                <w:sz w:val="20"/>
              </w:rPr>
              <w:t>
</w:t>
            </w:r>
            <w:r>
              <w:rPr>
                <w:rFonts w:ascii="Times New Roman"/>
                <w:b w:val="false"/>
                <w:i w:val="false"/>
                <w:color w:val="000000"/>
                <w:sz w:val="20"/>
              </w:rPr>
              <w:t>146180</w:t>
            </w:r>
          </w:p>
          <w:p>
            <w:pPr>
              <w:spacing w:after="20"/>
              <w:ind w:left="20"/>
              <w:jc w:val="both"/>
            </w:pPr>
            <w:r>
              <w:rPr>
                <w:rFonts w:ascii="Times New Roman"/>
                <w:b w:val="false"/>
                <w:i w:val="false"/>
                <w:color w:val="000000"/>
                <w:sz w:val="20"/>
              </w:rPr>
              <w:t>
62910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7" w:id="80"/>
    <w:p>
      <w:pPr>
        <w:spacing w:after="0"/>
        <w:ind w:left="0"/>
        <w:jc w:val="left"/>
      </w:pPr>
      <w:r>
        <w:rPr>
          <w:rFonts w:ascii="Times New Roman"/>
          <w:b/>
          <w:i w:val="false"/>
          <w:color w:val="000000"/>
        </w:rPr>
        <w:t xml:space="preserve"> Обеспеченность пастбищами скота по сельскому округу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Наимено-вание</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сельского</w:t>
            </w:r>
          </w:p>
          <w:p>
            <w:pPr>
              <w:spacing w:after="20"/>
              <w:ind w:left="20"/>
              <w:jc w:val="both"/>
            </w:pPr>
            <w:r>
              <w:rPr>
                <w:rFonts w:ascii="Times New Roman"/>
                <w:b w:val="false"/>
                <w:i w:val="false"/>
                <w:color w:val="000000"/>
                <w:sz w:val="20"/>
              </w:rPr>
              <w:t>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Виды</w:t>
            </w:r>
          </w:p>
          <w:bookmarkEnd w:id="82"/>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Пого-ловье</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(фактич)</w:t>
            </w:r>
          </w:p>
          <w:p>
            <w:pPr>
              <w:spacing w:after="20"/>
              <w:ind w:left="20"/>
              <w:jc w:val="both"/>
            </w:pPr>
            <w:r>
              <w:rPr>
                <w:rFonts w:ascii="Times New Roman"/>
                <w:b w:val="false"/>
                <w:i w:val="false"/>
                <w:color w:val="000000"/>
                <w:sz w:val="20"/>
              </w:rPr>
              <w:t>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Требуется</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пастбищ</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5"/>
          <w:p>
            <w:pPr>
              <w:spacing w:after="20"/>
              <w:ind w:left="20"/>
              <w:jc w:val="both"/>
            </w:pPr>
            <w:r>
              <w:rPr>
                <w:rFonts w:ascii="Times New Roman"/>
                <w:b w:val="false"/>
                <w:i w:val="false"/>
                <w:color w:val="000000"/>
                <w:sz w:val="20"/>
              </w:rPr>
              <w:t>
Недостаток –</w:t>
            </w:r>
          </w:p>
          <w:bookmarkEnd w:id="85"/>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Ойшилик-ский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6"/>
          <w:p>
            <w:pPr>
              <w:spacing w:after="20"/>
              <w:ind w:left="20"/>
              <w:jc w:val="both"/>
            </w:pPr>
            <w:r>
              <w:rPr>
                <w:rFonts w:ascii="Times New Roman"/>
                <w:b w:val="false"/>
                <w:i w:val="false"/>
                <w:color w:val="000000"/>
                <w:sz w:val="20"/>
              </w:rPr>
              <w:t>
 </w:t>
            </w:r>
          </w:p>
          <w:bookmarkEnd w:id="86"/>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7"/>
          <w:p>
            <w:pPr>
              <w:spacing w:after="20"/>
              <w:ind w:left="20"/>
              <w:jc w:val="both"/>
            </w:pPr>
            <w:r>
              <w:rPr>
                <w:rFonts w:ascii="Times New Roman"/>
                <w:b w:val="false"/>
                <w:i w:val="false"/>
                <w:color w:val="000000"/>
                <w:sz w:val="20"/>
              </w:rPr>
              <w:t>
 </w:t>
            </w:r>
          </w:p>
          <w:bookmarkEnd w:id="87"/>
          <w:p>
            <w:pPr>
              <w:spacing w:after="20"/>
              <w:ind w:left="20"/>
              <w:jc w:val="both"/>
            </w:pPr>
            <w:r>
              <w:rPr>
                <w:rFonts w:ascii="Times New Roman"/>
                <w:b w:val="false"/>
                <w:i w:val="false"/>
                <w:color w:val="000000"/>
                <w:sz w:val="20"/>
              </w:rPr>
              <w:t>
5540</w:t>
            </w:r>
          </w:p>
          <w:p>
            <w:pPr>
              <w:spacing w:after="20"/>
              <w:ind w:left="20"/>
              <w:jc w:val="both"/>
            </w:pPr>
            <w:r>
              <w:rPr>
                <w:rFonts w:ascii="Times New Roman"/>
                <w:b w:val="false"/>
                <w:i w:val="false"/>
                <w:color w:val="000000"/>
                <w:sz w:val="20"/>
              </w:rPr>
              <w:t>
</w:t>
            </w:r>
            <w:r>
              <w:rPr>
                <w:rFonts w:ascii="Times New Roman"/>
                <w:b w:val="false"/>
                <w:i w:val="false"/>
                <w:color w:val="000000"/>
                <w:sz w:val="20"/>
              </w:rPr>
              <w:t>14618</w:t>
            </w:r>
          </w:p>
          <w:p>
            <w:pPr>
              <w:spacing w:after="20"/>
              <w:ind w:left="20"/>
              <w:jc w:val="both"/>
            </w:pPr>
            <w:r>
              <w:rPr>
                <w:rFonts w:ascii="Times New Roman"/>
                <w:b w:val="false"/>
                <w:i w:val="false"/>
                <w:color w:val="000000"/>
                <w:sz w:val="20"/>
              </w:rPr>
              <w:t>
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8"/>
          <w:p>
            <w:pPr>
              <w:spacing w:after="20"/>
              <w:ind w:left="20"/>
              <w:jc w:val="both"/>
            </w:pPr>
            <w:r>
              <w:rPr>
                <w:rFonts w:ascii="Times New Roman"/>
                <w:b w:val="false"/>
                <w:i w:val="false"/>
                <w:color w:val="000000"/>
                <w:sz w:val="20"/>
              </w:rPr>
              <w:t>
28712</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14773</w:t>
            </w:r>
          </w:p>
          <w:p>
            <w:pPr>
              <w:spacing w:after="20"/>
              <w:ind w:left="20"/>
              <w:jc w:val="both"/>
            </w:pPr>
            <w:r>
              <w:rPr>
                <w:rFonts w:ascii="Times New Roman"/>
                <w:b w:val="false"/>
                <w:i w:val="false"/>
                <w:color w:val="000000"/>
                <w:sz w:val="20"/>
              </w:rPr>
              <w:t>
</w:t>
            </w:r>
            <w:r>
              <w:rPr>
                <w:rFonts w:ascii="Times New Roman"/>
                <w:b w:val="false"/>
                <w:i w:val="false"/>
                <w:color w:val="000000"/>
                <w:sz w:val="20"/>
              </w:rPr>
              <w:t>9745</w:t>
            </w:r>
          </w:p>
          <w:p>
            <w:pPr>
              <w:spacing w:after="20"/>
              <w:ind w:left="20"/>
              <w:jc w:val="both"/>
            </w:pPr>
            <w:r>
              <w:rPr>
                <w:rFonts w:ascii="Times New Roman"/>
                <w:b w:val="false"/>
                <w:i w:val="false"/>
                <w:color w:val="000000"/>
                <w:sz w:val="20"/>
              </w:rPr>
              <w:t>
4194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- 12268,8</w:t>
            </w:r>
          </w:p>
        </w:tc>
      </w:tr>
    </w:tbl>
    <w:bookmarkStart w:name="z113" w:id="89"/>
    <w:p>
      <w:pPr>
        <w:spacing w:after="0"/>
        <w:ind w:left="0"/>
        <w:jc w:val="left"/>
      </w:pPr>
      <w:r>
        <w:rPr>
          <w:rFonts w:ascii="Times New Roman"/>
          <w:b/>
          <w:i w:val="false"/>
          <w:color w:val="000000"/>
        </w:rPr>
        <w:t xml:space="preserve"> 6. ПРИРОДООХРАННЫЕ МЕРОПРИЯТИЯ</w:t>
      </w:r>
    </w:p>
    <w:bookmarkEnd w:id="89"/>
    <w:bookmarkStart w:name="z114" w:id="90"/>
    <w:p>
      <w:pPr>
        <w:spacing w:after="0"/>
        <w:ind w:left="0"/>
        <w:jc w:val="both"/>
      </w:pPr>
      <w:r>
        <w:rPr>
          <w:rFonts w:ascii="Times New Roman"/>
          <w:b w:val="false"/>
          <w:i w:val="false"/>
          <w:color w:val="000000"/>
          <w:sz w:val="28"/>
        </w:rPr>
        <w:t>
      Охрана природы является одной из основных экономических проблем рационального использования земель, сохранения и повышения плодородия почвы. Одним из главных факторов, разрушающих почвенные покровы, являются эрозионные процессы.</w:t>
      </w:r>
    </w:p>
    <w:bookmarkEnd w:id="90"/>
    <w:bookmarkStart w:name="z115" w:id="91"/>
    <w:p>
      <w:pPr>
        <w:spacing w:after="0"/>
        <w:ind w:left="0"/>
        <w:jc w:val="both"/>
      </w:pPr>
      <w:r>
        <w:rPr>
          <w:rFonts w:ascii="Times New Roman"/>
          <w:b w:val="false"/>
          <w:i w:val="false"/>
          <w:color w:val="000000"/>
          <w:sz w:val="28"/>
        </w:rPr>
        <w:t>
      Эрозия почв – это результат сложного взаимодействия природных и экономических факторов. Среди природных факторов, влияющих на развитие процессов эрозии, важнейшими являются рельеф местности, особенности почвенного покрова, растительность и климатические условия.</w:t>
      </w:r>
    </w:p>
    <w:bookmarkEnd w:id="91"/>
    <w:bookmarkStart w:name="z116" w:id="92"/>
    <w:p>
      <w:pPr>
        <w:spacing w:after="0"/>
        <w:ind w:left="0"/>
        <w:jc w:val="both"/>
      </w:pPr>
      <w:r>
        <w:rPr>
          <w:rFonts w:ascii="Times New Roman"/>
          <w:b w:val="false"/>
          <w:i w:val="false"/>
          <w:color w:val="000000"/>
          <w:sz w:val="28"/>
        </w:rPr>
        <w:t>
      Экономический фактор – это хозяйственная деятельность человека, его воздействие на землю. К ним относится: расположение границ и других линейных элементов территории без учета рельефа, распашка эрозионно-опасных земель, определение состава культур в севооборотах, обработка полей без учета рельефа, бессистемное использование пастбищ, несоблюдение комплекса противоэрозионных мероприятий.</w:t>
      </w:r>
    </w:p>
    <w:bookmarkEnd w:id="92"/>
    <w:bookmarkStart w:name="z117" w:id="93"/>
    <w:p>
      <w:pPr>
        <w:spacing w:after="0"/>
        <w:ind w:left="0"/>
        <w:jc w:val="both"/>
      </w:pPr>
      <w:r>
        <w:rPr>
          <w:rFonts w:ascii="Times New Roman"/>
          <w:b w:val="false"/>
          <w:i w:val="false"/>
          <w:color w:val="000000"/>
          <w:sz w:val="28"/>
        </w:rPr>
        <w:t>
      Основной задачей противоэрозионной организации территории является создание условий для прекращения, ослабления и предотвращения эрозионных процессов. Это достигается посевом многолетних трав на участках с изреженным травостоем. Почвы, занятые многолетними травами, почти не подвергаются водной эрозии. На участках подверженным эрозионным процессам необходимо строгое нормирование выпаса животных (особенно в весенний период); недопущению оголения площадей; проведению работ по травосеянию с улучшением состава кормовых трав.</w:t>
      </w:r>
    </w:p>
    <w:bookmarkEnd w:id="93"/>
    <w:bookmarkStart w:name="z118" w:id="94"/>
    <w:p>
      <w:pPr>
        <w:spacing w:after="0"/>
        <w:ind w:left="0"/>
        <w:jc w:val="left"/>
      </w:pPr>
      <w:r>
        <w:rPr>
          <w:rFonts w:ascii="Times New Roman"/>
          <w:b/>
          <w:i w:val="false"/>
          <w:color w:val="000000"/>
        </w:rPr>
        <w:t xml:space="preserve"> 7. Территория с особым режимом использования земель</w:t>
      </w:r>
    </w:p>
    <w:bookmarkEnd w:id="94"/>
    <w:bookmarkStart w:name="z119" w:id="95"/>
    <w:p>
      <w:pPr>
        <w:spacing w:after="0"/>
        <w:ind w:left="0"/>
        <w:jc w:val="both"/>
      </w:pPr>
      <w:r>
        <w:rPr>
          <w:rFonts w:ascii="Times New Roman"/>
          <w:b w:val="false"/>
          <w:i w:val="false"/>
          <w:color w:val="000000"/>
          <w:sz w:val="28"/>
        </w:rPr>
        <w:t>
      В соответствии с Правилами установления водоохранных зон и полос, утвержденными приказом Министра сельского хозяйства от 18 мая 2015 года № 19 – 1/446, с изменениями внесенными приказом Заместителя Премьер-Министра Республики Казахстан - Министра сельского хозяйства Республики Казахстан от 6 сентября 2017 г. № 379, настоящим проектом даны рекомендации по водоохранным зонам (ВЗ) и водоохранным полосам (ВП).</w:t>
      </w:r>
    </w:p>
    <w:bookmarkEnd w:id="95"/>
    <w:bookmarkStart w:name="z120" w:id="96"/>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bookmarkEnd w:id="96"/>
    <w:bookmarkStart w:name="z121" w:id="97"/>
    <w:p>
      <w:pPr>
        <w:spacing w:after="0"/>
        <w:ind w:left="0"/>
        <w:jc w:val="both"/>
      </w:pPr>
      <w:r>
        <w:rPr>
          <w:rFonts w:ascii="Times New Roman"/>
          <w:b w:val="false"/>
          <w:i w:val="false"/>
          <w:color w:val="000000"/>
          <w:sz w:val="28"/>
        </w:rPr>
        <w:t>
      В соответствии с требованиями статьи 125 Водного Кодекса Республики Казахстан в пределах водоохраной полосы запрещается:</w:t>
      </w:r>
    </w:p>
    <w:bookmarkEnd w:id="97"/>
    <w:bookmarkStart w:name="z122" w:id="98"/>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bookmarkEnd w:id="98"/>
    <w:bookmarkStart w:name="z123" w:id="99"/>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bookmarkEnd w:id="99"/>
    <w:bookmarkStart w:name="z124" w:id="100"/>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bookmarkEnd w:id="100"/>
    <w:bookmarkStart w:name="z125" w:id="101"/>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bookmarkEnd w:id="101"/>
    <w:bookmarkStart w:name="z126" w:id="102"/>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bookmarkEnd w:id="102"/>
    <w:bookmarkStart w:name="z127" w:id="103"/>
    <w:p>
      <w:pPr>
        <w:spacing w:after="0"/>
        <w:ind w:left="0"/>
        <w:jc w:val="both"/>
      </w:pPr>
      <w:r>
        <w:rPr>
          <w:rFonts w:ascii="Times New Roman"/>
          <w:b w:val="false"/>
          <w:i w:val="false"/>
          <w:color w:val="000000"/>
          <w:sz w:val="28"/>
        </w:rPr>
        <w:t>
      - применение всех видов удобрений.</w:t>
      </w:r>
    </w:p>
    <w:bookmarkEnd w:id="103"/>
    <w:bookmarkStart w:name="z128" w:id="104"/>
    <w:p>
      <w:pPr>
        <w:spacing w:after="0"/>
        <w:ind w:left="0"/>
        <w:jc w:val="both"/>
      </w:pPr>
      <w:r>
        <w:rPr>
          <w:rFonts w:ascii="Times New Roman"/>
          <w:b w:val="false"/>
          <w:i w:val="false"/>
          <w:color w:val="000000"/>
          <w:sz w:val="28"/>
        </w:rPr>
        <w:t>
      в пределах водоохранных зон запрещается:</w:t>
      </w:r>
    </w:p>
    <w:bookmarkEnd w:id="104"/>
    <w:bookmarkStart w:name="z129" w:id="105"/>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105"/>
    <w:bookmarkStart w:name="z130" w:id="106"/>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bookmarkEnd w:id="106"/>
    <w:bookmarkStart w:name="z131" w:id="107"/>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107"/>
    <w:bookmarkStart w:name="z132" w:id="108"/>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bookmarkEnd w:id="108"/>
    <w:bookmarkStart w:name="z133" w:id="109"/>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109"/>
    <w:bookmarkStart w:name="z134" w:id="110"/>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110"/>
    <w:bookmarkStart w:name="z135" w:id="111"/>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bookmarkEnd w:id="111"/>
    <w:bookmarkStart w:name="z136" w:id="112"/>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Ойшиликском сельском округе </w:t>
            </w:r>
            <w:r>
              <w:br/>
            </w:r>
            <w:r>
              <w:rPr>
                <w:rFonts w:ascii="Times New Roman"/>
                <w:b w:val="false"/>
                <w:i w:val="false"/>
                <w:color w:val="000000"/>
                <w:sz w:val="20"/>
              </w:rPr>
              <w:t>на 2022-2023 годы</w:t>
            </w:r>
          </w:p>
        </w:tc>
      </w:tr>
    </w:tbl>
    <w:bookmarkStart w:name="z138" w:id="113"/>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по Тарбагатайскому району Ойшиликскому сельскому округу собственников земельных участков и землепользователей на основании правоустанавливающих документов</w:t>
      </w:r>
    </w:p>
    <w:bookmarkEnd w:id="113"/>
    <w:bookmarkStart w:name="z139"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Ойшиликском </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bookmarkStart w:name="z141" w:id="115"/>
    <w:p>
      <w:pPr>
        <w:spacing w:after="0"/>
        <w:ind w:left="0"/>
        <w:jc w:val="left"/>
      </w:pPr>
      <w:r>
        <w:rPr>
          <w:rFonts w:ascii="Times New Roman"/>
          <w:b/>
          <w:i w:val="false"/>
          <w:color w:val="000000"/>
        </w:rPr>
        <w:t xml:space="preserve"> Приемлемые схемы пастбищеоборотов</w:t>
      </w:r>
    </w:p>
    <w:bookmarkEnd w:id="115"/>
    <w:bookmarkStart w:name="z142"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Ойшиликском </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bookmarkStart w:name="z144" w:id="11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17"/>
    <w:bookmarkStart w:name="z145"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Ойшиликском </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bookmarkStart w:name="z147" w:id="11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оросительнымили обводнительным каналам, трубчатым или шахтным колодцам), составленную согласно норме потребления воды</w:t>
      </w:r>
    </w:p>
    <w:bookmarkEnd w:id="119"/>
    <w:bookmarkStart w:name="z148"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Ойшиликском </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bookmarkStart w:name="z150" w:id="12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1"/>
    <w:bookmarkStart w:name="z151"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Ойшиликском </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bookmarkStart w:name="z153" w:id="12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bookmarkEnd w:id="123"/>
    <w:bookmarkStart w:name="z154"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Ойшиликском </w:t>
            </w:r>
            <w:r>
              <w:br/>
            </w:r>
            <w:r>
              <w:rPr>
                <w:rFonts w:ascii="Times New Roman"/>
                <w:b w:val="false"/>
                <w:i w:val="false"/>
                <w:color w:val="000000"/>
                <w:sz w:val="20"/>
              </w:rPr>
              <w:t xml:space="preserve">сельском </w:t>
            </w:r>
            <w:r>
              <w:br/>
            </w:r>
            <w:r>
              <w:rPr>
                <w:rFonts w:ascii="Times New Roman"/>
                <w:b w:val="false"/>
                <w:i w:val="false"/>
                <w:color w:val="000000"/>
                <w:sz w:val="20"/>
              </w:rPr>
              <w:t>округе на 2022-2023 годы</w:t>
            </w:r>
          </w:p>
        </w:tc>
      </w:tr>
    </w:tbl>
    <w:bookmarkStart w:name="z156" w:id="125"/>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отгона животных на дальние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обратного отгона из дальних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Ойшилик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Танамырза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декада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Ойшиликском </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bookmarkStart w:name="z158" w:id="126"/>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26"/>
    <w:bookmarkStart w:name="z159"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