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b30d91" w14:textId="5b30d9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Плана по управлению пастбищами и их использованию по Кокжыринскому сельскому округа на 2022-2023 годы</w:t>
      </w:r>
    </w:p>
    <w:p>
      <w:pPr>
        <w:spacing w:after="0"/>
        <w:ind w:left="0"/>
        <w:jc w:val="both"/>
      </w:pPr>
      <w:r>
        <w:rPr>
          <w:rFonts w:ascii="Times New Roman"/>
          <w:b w:val="false"/>
          <w:i w:val="false"/>
          <w:color w:val="000000"/>
          <w:sz w:val="28"/>
        </w:rPr>
        <w:t>Решение Тарбагатайского районного маслихата Восточно-Казахстанской области от 31 декабря 2021 года № 13/31-VII</w:t>
      </w:r>
    </w:p>
    <w:p>
      <w:pPr>
        <w:spacing w:after="0"/>
        <w:ind w:left="0"/>
        <w:jc w:val="both"/>
      </w:pPr>
      <w:bookmarkStart w:name="z19" w:id="0"/>
      <w:r>
        <w:rPr>
          <w:rFonts w:ascii="Times New Roman"/>
          <w:b w:val="false"/>
          <w:i w:val="false"/>
          <w:color w:val="000000"/>
          <w:sz w:val="28"/>
        </w:rPr>
        <w:t xml:space="preserve">
      В соответствии со </w:t>
      </w:r>
      <w:r>
        <w:rPr>
          <w:rFonts w:ascii="Times New Roman"/>
          <w:b w:val="false"/>
          <w:i w:val="false"/>
          <w:color w:val="000000"/>
          <w:sz w:val="28"/>
        </w:rPr>
        <w:t>статьями 8</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Закона Республики Казахстан "О пастбищах" от 20 февраля 2017 года, подпунктом 15) пункта 1 </w:t>
      </w:r>
      <w:r>
        <w:rPr>
          <w:rFonts w:ascii="Times New Roman"/>
          <w:b w:val="false"/>
          <w:i w:val="false"/>
          <w:color w:val="000000"/>
          <w:sz w:val="28"/>
        </w:rPr>
        <w:t>статьи 6</w:t>
      </w:r>
      <w:r>
        <w:rPr>
          <w:rFonts w:ascii="Times New Roman"/>
          <w:b w:val="false"/>
          <w:i w:val="false"/>
          <w:color w:val="000000"/>
          <w:sz w:val="28"/>
        </w:rPr>
        <w:t xml:space="preserve"> Закона Республики Казахстан от 23 января 2001 года "О местном государственном управлении и самоуправлении в Республике Казахстан", Тарбагатайский районный маслихат РЕШИЛ:</w:t>
      </w:r>
    </w:p>
    <w:bookmarkEnd w:id="0"/>
    <w:bookmarkStart w:name="z20" w:id="1"/>
    <w:p>
      <w:pPr>
        <w:spacing w:after="0"/>
        <w:ind w:left="0"/>
        <w:jc w:val="both"/>
      </w:pPr>
      <w:r>
        <w:rPr>
          <w:rFonts w:ascii="Times New Roman"/>
          <w:b w:val="false"/>
          <w:i w:val="false"/>
          <w:color w:val="000000"/>
          <w:sz w:val="28"/>
        </w:rPr>
        <w:t xml:space="preserve">
      1. Утвердить </w:t>
      </w:r>
      <w:r>
        <w:rPr>
          <w:rFonts w:ascii="Times New Roman"/>
          <w:b w:val="false"/>
          <w:i w:val="false"/>
          <w:color w:val="000000"/>
          <w:sz w:val="28"/>
        </w:rPr>
        <w:t xml:space="preserve">План </w:t>
      </w:r>
      <w:r>
        <w:rPr>
          <w:rFonts w:ascii="Times New Roman"/>
          <w:b w:val="false"/>
          <w:i w:val="false"/>
          <w:color w:val="000000"/>
          <w:sz w:val="28"/>
        </w:rPr>
        <w:t xml:space="preserve">по управлению пастбищами и их использованию по Кокжыринскому сельскому округу на 2022-2023 годы, согласно </w:t>
      </w:r>
      <w:r>
        <w:rPr>
          <w:rFonts w:ascii="Times New Roman"/>
          <w:b w:val="false"/>
          <w:i w:val="false"/>
          <w:color w:val="000000"/>
          <w:sz w:val="28"/>
        </w:rPr>
        <w:t>приложениям</w:t>
      </w:r>
      <w:r>
        <w:rPr>
          <w:rFonts w:ascii="Times New Roman"/>
          <w:b w:val="false"/>
          <w:i w:val="false"/>
          <w:color w:val="000000"/>
          <w:sz w:val="28"/>
        </w:rPr>
        <w:t xml:space="preserve"> к настоящему решению.</w:t>
      </w:r>
    </w:p>
    <w:bookmarkEnd w:id="1"/>
    <w:p>
      <w:pPr>
        <w:spacing w:after="0"/>
        <w:ind w:left="0"/>
        <w:jc w:val="both"/>
      </w:pPr>
      <w:r>
        <w:rPr>
          <w:rFonts w:ascii="Times New Roman"/>
          <w:b w:val="false"/>
          <w:i w:val="false"/>
          <w:color w:val="000000"/>
          <w:sz w:val="28"/>
        </w:rPr>
        <w:t>
      2. Настоящее решение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Секретарь Тарбагатайского районного маслихата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Богырбаев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решению</w:t>
            </w:r>
            <w:r>
              <w:br/>
            </w:r>
            <w:r>
              <w:rPr>
                <w:rFonts w:ascii="Times New Roman"/>
                <w:b w:val="false"/>
                <w:i w:val="false"/>
                <w:color w:val="000000"/>
                <w:sz w:val="20"/>
              </w:rPr>
              <w:t xml:space="preserve">Тарбагатайского районного </w:t>
            </w:r>
            <w:r>
              <w:br/>
            </w:r>
            <w:r>
              <w:rPr>
                <w:rFonts w:ascii="Times New Roman"/>
                <w:b w:val="false"/>
                <w:i w:val="false"/>
                <w:color w:val="000000"/>
                <w:sz w:val="20"/>
              </w:rPr>
              <w:t>маслихата</w:t>
            </w:r>
            <w:r>
              <w:br/>
            </w:r>
            <w:r>
              <w:rPr>
                <w:rFonts w:ascii="Times New Roman"/>
                <w:b w:val="false"/>
                <w:i w:val="false"/>
                <w:color w:val="000000"/>
                <w:sz w:val="20"/>
              </w:rPr>
              <w:t xml:space="preserve">от 31 декабря 2021 года </w:t>
            </w:r>
            <w:r>
              <w:br/>
            </w:r>
            <w:r>
              <w:rPr>
                <w:rFonts w:ascii="Times New Roman"/>
                <w:b w:val="false"/>
                <w:i w:val="false"/>
                <w:color w:val="000000"/>
                <w:sz w:val="20"/>
              </w:rPr>
              <w:t>№ 13/31-VII I</w:t>
            </w:r>
          </w:p>
        </w:tc>
      </w:tr>
    </w:tbl>
    <w:bookmarkStart w:name="z2" w:id="2"/>
    <w:p>
      <w:pPr>
        <w:spacing w:after="0"/>
        <w:ind w:left="0"/>
        <w:jc w:val="left"/>
      </w:pPr>
      <w:r>
        <w:rPr>
          <w:rFonts w:ascii="Times New Roman"/>
          <w:b/>
          <w:i w:val="false"/>
          <w:color w:val="000000"/>
        </w:rPr>
        <w:t xml:space="preserve"> План по управлению пастбищами и их использованию по Кокжиринскому сельскому округу на 2022-2023 годы.</w:t>
      </w:r>
    </w:p>
    <w:bookmarkEnd w:id="2"/>
    <w:bookmarkStart w:name="z21" w:id="3"/>
    <w:p>
      <w:pPr>
        <w:spacing w:after="0"/>
        <w:ind w:left="0"/>
        <w:jc w:val="both"/>
      </w:pPr>
      <w:r>
        <w:rPr>
          <w:rFonts w:ascii="Times New Roman"/>
          <w:b w:val="false"/>
          <w:i w:val="false"/>
          <w:color w:val="000000"/>
          <w:sz w:val="28"/>
        </w:rPr>
        <w:t>
      Настоящий План по управлению пастбищами и их использованию по Кокжиринскому сельскому округу на 2022-2023 годы (далее План) разработан в соответствий с Законами Республики Казахстан от 20 февраля 2017 года "</w:t>
      </w:r>
      <w:r>
        <w:rPr>
          <w:rFonts w:ascii="Times New Roman"/>
          <w:b w:val="false"/>
          <w:i w:val="false"/>
          <w:color w:val="000000"/>
          <w:sz w:val="28"/>
        </w:rPr>
        <w:t>О пастбищах</w:t>
      </w:r>
      <w:r>
        <w:rPr>
          <w:rFonts w:ascii="Times New Roman"/>
          <w:b w:val="false"/>
          <w:i w:val="false"/>
          <w:color w:val="000000"/>
          <w:sz w:val="28"/>
        </w:rPr>
        <w:t>", от 23 января 2001 года "</w:t>
      </w:r>
      <w:r>
        <w:rPr>
          <w:rFonts w:ascii="Times New Roman"/>
          <w:b w:val="false"/>
          <w:i w:val="false"/>
          <w:color w:val="000000"/>
          <w:sz w:val="28"/>
        </w:rPr>
        <w:t>О местном государственном управлений и самосамоуправлении в Республике Казахстан</w:t>
      </w:r>
      <w:r>
        <w:rPr>
          <w:rFonts w:ascii="Times New Roman"/>
          <w:b w:val="false"/>
          <w:i w:val="false"/>
          <w:color w:val="000000"/>
          <w:sz w:val="28"/>
        </w:rPr>
        <w:t xml:space="preserve">", </w:t>
      </w:r>
      <w:r>
        <w:rPr>
          <w:rFonts w:ascii="Times New Roman"/>
          <w:b w:val="false"/>
          <w:i w:val="false"/>
          <w:color w:val="000000"/>
          <w:sz w:val="28"/>
        </w:rPr>
        <w:t>приказом</w:t>
      </w:r>
      <w:r>
        <w:rPr>
          <w:rFonts w:ascii="Times New Roman"/>
          <w:b w:val="false"/>
          <w:i w:val="false"/>
          <w:color w:val="000000"/>
          <w:sz w:val="28"/>
        </w:rPr>
        <w:t xml:space="preserve"> Заместителя Премьер-Министра Республики Казахстан–Министра сельского хозяйства Республики Казахстан от 24 апреля 2017 года № 173 "Об утверждений Правил рационального использования пастбищ" (зарегестрирован в Министерстве юстиций Республики Казахстан 28 апреля 2017 года № 15090), </w:t>
      </w:r>
      <w:r>
        <w:rPr>
          <w:rFonts w:ascii="Times New Roman"/>
          <w:b w:val="false"/>
          <w:i w:val="false"/>
          <w:color w:val="000000"/>
          <w:sz w:val="28"/>
        </w:rPr>
        <w:t>приказом</w:t>
      </w:r>
      <w:r>
        <w:rPr>
          <w:rFonts w:ascii="Times New Roman"/>
          <w:b w:val="false"/>
          <w:i w:val="false"/>
          <w:color w:val="000000"/>
          <w:sz w:val="28"/>
        </w:rPr>
        <w:t xml:space="preserve"> Министра сельского хозяйства Республики Казахстан от 14 аперля 2015 года № 3-3/332 "Об утверждений предельно допустимой нормы нагрузки на общую площадь пасбищ" "зарегестрирован в Министерстве юстиций Республики Казахстан 15 мая 2015 года № 11064).</w:t>
      </w:r>
    </w:p>
    <w:bookmarkEnd w:id="3"/>
    <w:p>
      <w:pPr>
        <w:spacing w:after="0"/>
        <w:ind w:left="0"/>
        <w:jc w:val="both"/>
      </w:pPr>
      <w:r>
        <w:rPr>
          <w:rFonts w:ascii="Times New Roman"/>
          <w:b w:val="false"/>
          <w:i w:val="false"/>
          <w:color w:val="000000"/>
          <w:sz w:val="28"/>
        </w:rPr>
        <w:t>
      План принимается в целях рационального использования пастбищ, устойчивого обеспечения потребности в кормах и предотвращения процессов деградаций пасбищ.</w:t>
      </w:r>
    </w:p>
    <w:p>
      <w:pPr>
        <w:spacing w:after="0"/>
        <w:ind w:left="0"/>
        <w:jc w:val="both"/>
      </w:pPr>
      <w:r>
        <w:rPr>
          <w:rFonts w:ascii="Times New Roman"/>
          <w:b w:val="false"/>
          <w:i w:val="false"/>
          <w:color w:val="000000"/>
          <w:sz w:val="28"/>
        </w:rPr>
        <w:t>
      План содержит:</w:t>
      </w:r>
    </w:p>
    <w:p>
      <w:pPr>
        <w:spacing w:after="0"/>
        <w:ind w:left="0"/>
        <w:jc w:val="both"/>
      </w:pPr>
      <w:r>
        <w:rPr>
          <w:rFonts w:ascii="Times New Roman"/>
          <w:b w:val="false"/>
          <w:i w:val="false"/>
          <w:color w:val="000000"/>
          <w:sz w:val="28"/>
        </w:rPr>
        <w:t xml:space="preserve">
      1) Схему (карту) расположения пастбищ на территорий административно-территориальной единицы в разрезе категорий земель, собственников земельных участков и землепользователей на оснований правоустанавливающих документов,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Плану;</w:t>
      </w:r>
    </w:p>
    <w:p>
      <w:pPr>
        <w:spacing w:after="0"/>
        <w:ind w:left="0"/>
        <w:jc w:val="both"/>
      </w:pPr>
      <w:r>
        <w:rPr>
          <w:rFonts w:ascii="Times New Roman"/>
          <w:b w:val="false"/>
          <w:i w:val="false"/>
          <w:color w:val="000000"/>
          <w:sz w:val="28"/>
        </w:rPr>
        <w:t xml:space="preserve">
      2) Приемлемые схемы пастбище оборотов,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Плану;</w:t>
      </w:r>
    </w:p>
    <w:p>
      <w:pPr>
        <w:spacing w:after="0"/>
        <w:ind w:left="0"/>
        <w:jc w:val="both"/>
      </w:pPr>
      <w:r>
        <w:rPr>
          <w:rFonts w:ascii="Times New Roman"/>
          <w:b w:val="false"/>
          <w:i w:val="false"/>
          <w:color w:val="000000"/>
          <w:sz w:val="28"/>
        </w:rPr>
        <w:t xml:space="preserve">
      3) Карту с обозначением внешних и внутренних границ и площадей пастбищ, в том числе сезонных, объектов пастбищной инфраструктуры,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настоящему Плану;</w:t>
      </w:r>
    </w:p>
    <w:p>
      <w:pPr>
        <w:spacing w:after="0"/>
        <w:ind w:left="0"/>
        <w:jc w:val="both"/>
      </w:pPr>
      <w:r>
        <w:rPr>
          <w:rFonts w:ascii="Times New Roman"/>
          <w:b w:val="false"/>
          <w:i w:val="false"/>
          <w:color w:val="000000"/>
          <w:sz w:val="28"/>
        </w:rPr>
        <w:t xml:space="preserve">
      4) Схему доступа пастбище пользователей к водоисточникам (озерам, рекам, прудам, копаниям, оросительным и обводнительным каналам, трубчатым и шахтным колодцам), составленную согласно норме потребления воды,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настоящему Плану;</w:t>
      </w:r>
    </w:p>
    <w:p>
      <w:pPr>
        <w:spacing w:after="0"/>
        <w:ind w:left="0"/>
        <w:jc w:val="both"/>
      </w:pPr>
      <w:r>
        <w:rPr>
          <w:rFonts w:ascii="Times New Roman"/>
          <w:b w:val="false"/>
          <w:i w:val="false"/>
          <w:color w:val="000000"/>
          <w:sz w:val="28"/>
        </w:rPr>
        <w:t xml:space="preserve">
      5) Схему перераспределения пастбищ для размещения поголовья сельскохозяйственных животных физических и (или) юридических лиц, у которых отсутствуют пастбища, и перемещения его на предоставляемые пастбища,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настоящему Плану;</w:t>
      </w:r>
    </w:p>
    <w:p>
      <w:pPr>
        <w:spacing w:after="0"/>
        <w:ind w:left="0"/>
        <w:jc w:val="both"/>
      </w:pPr>
      <w:r>
        <w:rPr>
          <w:rFonts w:ascii="Times New Roman"/>
          <w:b w:val="false"/>
          <w:i w:val="false"/>
          <w:color w:val="000000"/>
          <w:sz w:val="28"/>
        </w:rPr>
        <w:t xml:space="preserve">
      6) Схему размещения поголовья сельскохозяйственных животных на отгонных пастбищах физических и (или) юридических лиц, у которых отсутствуют пастбища, и перемещения его на предоставляемые пастбища. Согласно </w:t>
      </w:r>
      <w:r>
        <w:rPr>
          <w:rFonts w:ascii="Times New Roman"/>
          <w:b w:val="false"/>
          <w:i w:val="false"/>
          <w:color w:val="000000"/>
          <w:sz w:val="28"/>
        </w:rPr>
        <w:t>приложению 6</w:t>
      </w:r>
      <w:r>
        <w:rPr>
          <w:rFonts w:ascii="Times New Roman"/>
          <w:b w:val="false"/>
          <w:i w:val="false"/>
          <w:color w:val="000000"/>
          <w:sz w:val="28"/>
        </w:rPr>
        <w:t xml:space="preserve"> к настоящему Плану;</w:t>
      </w:r>
    </w:p>
    <w:p>
      <w:pPr>
        <w:spacing w:after="0"/>
        <w:ind w:left="0"/>
        <w:jc w:val="both"/>
      </w:pPr>
      <w:r>
        <w:rPr>
          <w:rFonts w:ascii="Times New Roman"/>
          <w:b w:val="false"/>
          <w:i w:val="false"/>
          <w:color w:val="000000"/>
          <w:sz w:val="28"/>
        </w:rPr>
        <w:t xml:space="preserve">
      7) Календарный график по использованию пастбищ, устанавливающий сезонные маршруты выпаса и передвижения сельскохозяйственных животных,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настоящему Плану;</w:t>
      </w:r>
    </w:p>
    <w:p>
      <w:pPr>
        <w:spacing w:after="0"/>
        <w:ind w:left="0"/>
        <w:jc w:val="both"/>
      </w:pPr>
      <w:r>
        <w:rPr>
          <w:rFonts w:ascii="Times New Roman"/>
          <w:b w:val="false"/>
          <w:i w:val="false"/>
          <w:color w:val="000000"/>
          <w:sz w:val="28"/>
        </w:rPr>
        <w:t xml:space="preserve">
      7-1) Карту с обозначением внешних и внутренних границ и площадей пастбищ, необходимых для удовлетворения нужд населения для выпаса сельскохозяйственных животных личного подворья, в зависимости от местных условий и особенностей. </w:t>
      </w:r>
    </w:p>
    <w:p>
      <w:pPr>
        <w:spacing w:after="0"/>
        <w:ind w:left="0"/>
        <w:jc w:val="both"/>
      </w:pPr>
      <w:r>
        <w:rPr>
          <w:rFonts w:ascii="Times New Roman"/>
          <w:b w:val="false"/>
          <w:i w:val="false"/>
          <w:color w:val="000000"/>
          <w:sz w:val="28"/>
        </w:rPr>
        <w:t>
      План принят с учетом сведений о состояний геоботанического обследования пастбищ, сведений о ветеринарно-санитарных объектах, данных о численности поголовья сельскохозяйственных животных с указанием их владельцев – пастбище пользователей, физических и (или) юридических лиц, данных о количестве гуртов, отар, табунов, сформированных по видам и половозрастным группам сельскохозяйственных животных, сведений о формирований поголовья сельскохозяйственных животных для выпаса на отгонных пастбищах, особенностей выпаса сельскохозяйственных животных на культурных и аридных пастбищах, сведений о сервитутах для прогона скота и иных данных, предоставленных государственными органами, физическими и юридическими лицами.</w:t>
      </w:r>
    </w:p>
    <w:p>
      <w:pPr>
        <w:spacing w:after="0"/>
        <w:ind w:left="0"/>
        <w:jc w:val="both"/>
      </w:pPr>
      <w:r>
        <w:rPr>
          <w:rFonts w:ascii="Times New Roman"/>
          <w:b w:val="false"/>
          <w:i w:val="false"/>
          <w:color w:val="000000"/>
          <w:sz w:val="28"/>
        </w:rPr>
        <w:t>
      Общая площадь территорий Кокжиринского сельского округа 201100 га, из них пастбищные земли 197600 га, орошаемые земли – 4000 га, сенокосные земли 2800 га.</w:t>
      </w:r>
    </w:p>
    <w:p>
      <w:pPr>
        <w:spacing w:after="0"/>
        <w:ind w:left="0"/>
        <w:jc w:val="both"/>
      </w:pPr>
      <w:r>
        <w:rPr>
          <w:rFonts w:ascii="Times New Roman"/>
          <w:b w:val="false"/>
          <w:i w:val="false"/>
          <w:color w:val="000000"/>
          <w:sz w:val="28"/>
        </w:rPr>
        <w:t>
      По категориям земли подразделяются на:</w:t>
      </w:r>
    </w:p>
    <w:p>
      <w:pPr>
        <w:spacing w:after="0"/>
        <w:ind w:left="0"/>
        <w:jc w:val="both"/>
      </w:pPr>
      <w:r>
        <w:rPr>
          <w:rFonts w:ascii="Times New Roman"/>
          <w:b w:val="false"/>
          <w:i w:val="false"/>
          <w:color w:val="000000"/>
          <w:sz w:val="28"/>
        </w:rPr>
        <w:t>
      Земли сельскохозяйственного назначения –197600 га;</w:t>
      </w:r>
    </w:p>
    <w:p>
      <w:pPr>
        <w:spacing w:after="0"/>
        <w:ind w:left="0"/>
        <w:jc w:val="both"/>
      </w:pPr>
      <w:r>
        <w:rPr>
          <w:rFonts w:ascii="Times New Roman"/>
          <w:b w:val="false"/>
          <w:i w:val="false"/>
          <w:color w:val="000000"/>
          <w:sz w:val="28"/>
        </w:rPr>
        <w:t>
      Земли населенных пунктов – 18 500га;</w:t>
      </w:r>
    </w:p>
    <w:p>
      <w:pPr>
        <w:spacing w:after="0"/>
        <w:ind w:left="0"/>
        <w:jc w:val="both"/>
      </w:pPr>
      <w:r>
        <w:rPr>
          <w:rFonts w:ascii="Times New Roman"/>
          <w:b w:val="false"/>
          <w:i w:val="false"/>
          <w:color w:val="000000"/>
          <w:sz w:val="28"/>
        </w:rPr>
        <w:t>
      В районе действуют 1ветеринарный пункт, 1 убойная площадока, 1 скотомогильник.</w:t>
      </w:r>
    </w:p>
    <w:p>
      <w:pPr>
        <w:spacing w:after="0"/>
        <w:ind w:left="0"/>
        <w:jc w:val="both"/>
      </w:pPr>
      <w:r>
        <w:rPr>
          <w:rFonts w:ascii="Times New Roman"/>
          <w:b w:val="false"/>
          <w:i w:val="false"/>
          <w:color w:val="000000"/>
          <w:sz w:val="28"/>
        </w:rPr>
        <w:t xml:space="preserve">
      Во исполнение </w:t>
      </w:r>
      <w:r>
        <w:rPr>
          <w:rFonts w:ascii="Times New Roman"/>
          <w:b w:val="false"/>
          <w:i w:val="false"/>
          <w:color w:val="000000"/>
          <w:sz w:val="28"/>
        </w:rPr>
        <w:t>статьи 13</w:t>
      </w:r>
      <w:r>
        <w:rPr>
          <w:rFonts w:ascii="Times New Roman"/>
          <w:b w:val="false"/>
          <w:i w:val="false"/>
          <w:color w:val="000000"/>
          <w:sz w:val="28"/>
        </w:rPr>
        <w:t xml:space="preserve"> Закона "О пастбищах" для разработки Плана по управлению пастбищами и их исполнению в целях рационального использования пастбищ, устойчивого обеспечения потребности в кормах и предотвращения процессов деградации пастбищ, ГУ "Аппарат Акима Кокжиринского сельского округа Тарбагатайского района" заключило договор с ТОО "ГеоСхема".</w:t>
      </w:r>
    </w:p>
    <w:p>
      <w:pPr>
        <w:spacing w:after="0"/>
        <w:ind w:left="0"/>
        <w:jc w:val="both"/>
      </w:pPr>
      <w:r>
        <w:rPr>
          <w:rFonts w:ascii="Times New Roman"/>
          <w:b w:val="false"/>
          <w:i w:val="false"/>
          <w:color w:val="000000"/>
          <w:sz w:val="28"/>
        </w:rPr>
        <w:t>
      План по управлению пастбищами и их использованию – документ, определяющий и обосновывающий организацию и устройство территории пастбищ на ближайшую перспективу, содержащий комплекс мероприятий, обеспечивающих наиболее оптимальное использование каждого земельного участка с учетом его индивидуальных характеристик (плодородия, технических свойств использования, природно-климатических, экологических и других особенностей).</w:t>
      </w:r>
    </w:p>
    <w:p>
      <w:pPr>
        <w:spacing w:after="0"/>
        <w:ind w:left="0"/>
        <w:jc w:val="both"/>
      </w:pPr>
      <w:r>
        <w:rPr>
          <w:rFonts w:ascii="Times New Roman"/>
          <w:b w:val="false"/>
          <w:i w:val="false"/>
          <w:color w:val="000000"/>
          <w:sz w:val="28"/>
        </w:rPr>
        <w:t>
      Обеспечение в процессе производства сельскохозяйственной продукции максимального эффекта в осуществлении целей землепользования, с учетом охраны земель и оптимального взаимодействия с природными факторами, способами, не приводящими к существенному снижению урожайности и качественному составу травостоя, на основе Плана по управлению пастбищами и их использованию, дающего направление на более рациональную организацию и использование пастбищных угодий в конкретных природно-экономических условиях.</w:t>
      </w:r>
    </w:p>
    <w:p>
      <w:pPr>
        <w:spacing w:after="0"/>
        <w:ind w:left="0"/>
        <w:jc w:val="both"/>
      </w:pPr>
      <w:r>
        <w:rPr>
          <w:rFonts w:ascii="Times New Roman"/>
          <w:b w:val="false"/>
          <w:i w:val="false"/>
          <w:color w:val="000000"/>
          <w:sz w:val="28"/>
        </w:rPr>
        <w:t>
      План по управлению пастбищами и их использованию предусматривает развитие производства и организацию территории пастбищ на ближайшие 2 года и на период до 5-ти лет.</w:t>
      </w:r>
    </w:p>
    <w:p>
      <w:pPr>
        <w:spacing w:after="0"/>
        <w:ind w:left="0"/>
        <w:jc w:val="both"/>
      </w:pPr>
      <w:r>
        <w:rPr>
          <w:rFonts w:ascii="Times New Roman"/>
          <w:b w:val="false"/>
          <w:i w:val="false"/>
          <w:color w:val="000000"/>
          <w:sz w:val="28"/>
        </w:rPr>
        <w:t xml:space="preserve">
      При разработке и составлении Плана по управлению пастбищами и их использованию использовались следующие материалы: </w:t>
      </w:r>
    </w:p>
    <w:p>
      <w:pPr>
        <w:spacing w:after="0"/>
        <w:ind w:left="0"/>
        <w:jc w:val="both"/>
      </w:pPr>
      <w:r>
        <w:rPr>
          <w:rFonts w:ascii="Times New Roman"/>
          <w:b w:val="false"/>
          <w:i w:val="false"/>
          <w:color w:val="000000"/>
          <w:sz w:val="28"/>
        </w:rPr>
        <w:t>
      - планово картографический M l:25000 аэросъемки 1980 г. и дешифровки 1985 г.;</w:t>
      </w:r>
    </w:p>
    <w:p>
      <w:pPr>
        <w:spacing w:after="0"/>
        <w:ind w:left="0"/>
        <w:jc w:val="both"/>
      </w:pPr>
      <w:r>
        <w:rPr>
          <w:rFonts w:ascii="Times New Roman"/>
          <w:b w:val="false"/>
          <w:i w:val="false"/>
          <w:color w:val="000000"/>
          <w:sz w:val="28"/>
        </w:rPr>
        <w:t>
      - сведения о наличии скота и птицы, сельскохозяйственной техники и построек в домашних хозяйствах по сельским округам на 01.07. 2021г;</w:t>
      </w:r>
    </w:p>
    <w:p>
      <w:pPr>
        <w:spacing w:after="0"/>
        <w:ind w:left="0"/>
        <w:jc w:val="both"/>
      </w:pPr>
      <w:r>
        <w:rPr>
          <w:rFonts w:ascii="Times New Roman"/>
          <w:b w:val="false"/>
          <w:i w:val="false"/>
          <w:color w:val="000000"/>
          <w:sz w:val="28"/>
        </w:rPr>
        <w:t>
      - материалы геоботанического обследования 1980 г.;</w:t>
      </w:r>
    </w:p>
    <w:p>
      <w:pPr>
        <w:spacing w:after="0"/>
        <w:ind w:left="0"/>
        <w:jc w:val="both"/>
      </w:pPr>
      <w:r>
        <w:rPr>
          <w:rFonts w:ascii="Times New Roman"/>
          <w:b w:val="false"/>
          <w:i w:val="false"/>
          <w:color w:val="000000"/>
          <w:sz w:val="28"/>
        </w:rPr>
        <w:t>
      - инвентаризации обводненных пастбищ 1987 г.;</w:t>
      </w:r>
    </w:p>
    <w:p>
      <w:pPr>
        <w:spacing w:after="0"/>
        <w:ind w:left="0"/>
        <w:jc w:val="both"/>
      </w:pPr>
      <w:r>
        <w:rPr>
          <w:rFonts w:ascii="Times New Roman"/>
          <w:b w:val="false"/>
          <w:i w:val="false"/>
          <w:color w:val="000000"/>
          <w:sz w:val="28"/>
        </w:rPr>
        <w:t>
      При разработке показателей развития производства учитывался: - опыт ведения животноводства в Тарбагатайском районе осуществляющего свою производственную деятельность на основе научно обоснованной зональной системе животноводства.</w:t>
      </w:r>
    </w:p>
    <w:p>
      <w:pPr>
        <w:spacing w:after="0"/>
        <w:ind w:left="0"/>
        <w:jc w:val="both"/>
      </w:pPr>
      <w:r>
        <w:rPr>
          <w:rFonts w:ascii="Times New Roman"/>
          <w:b w:val="false"/>
          <w:i w:val="false"/>
          <w:color w:val="000000"/>
          <w:sz w:val="28"/>
        </w:rPr>
        <w:t>
      План по управлению пастбищами и их использованию состоит:</w:t>
      </w:r>
    </w:p>
    <w:p>
      <w:pPr>
        <w:spacing w:after="0"/>
        <w:ind w:left="0"/>
        <w:jc w:val="both"/>
      </w:pPr>
      <w:r>
        <w:rPr>
          <w:rFonts w:ascii="Times New Roman"/>
          <w:b w:val="false"/>
          <w:i w:val="false"/>
          <w:color w:val="000000"/>
          <w:sz w:val="28"/>
        </w:rPr>
        <w:t>
      - текстовая часть – пояснительная записка;</w:t>
      </w:r>
    </w:p>
    <w:p>
      <w:pPr>
        <w:spacing w:after="0"/>
        <w:ind w:left="0"/>
        <w:jc w:val="both"/>
      </w:pPr>
      <w:r>
        <w:rPr>
          <w:rFonts w:ascii="Times New Roman"/>
          <w:b w:val="false"/>
          <w:i w:val="false"/>
          <w:color w:val="000000"/>
          <w:sz w:val="28"/>
        </w:rPr>
        <w:t xml:space="preserve">
      - карта расположения пастбищ на территории сельского округа в </w:t>
      </w:r>
    </w:p>
    <w:p>
      <w:pPr>
        <w:spacing w:after="0"/>
        <w:ind w:left="0"/>
        <w:jc w:val="both"/>
      </w:pPr>
      <w:r>
        <w:rPr>
          <w:rFonts w:ascii="Times New Roman"/>
          <w:b w:val="false"/>
          <w:i w:val="false"/>
          <w:color w:val="000000"/>
          <w:sz w:val="28"/>
        </w:rPr>
        <w:t>
      М 1: 50 000;</w:t>
      </w:r>
    </w:p>
    <w:p>
      <w:pPr>
        <w:spacing w:after="0"/>
        <w:ind w:left="0"/>
        <w:jc w:val="both"/>
      </w:pPr>
      <w:r>
        <w:rPr>
          <w:rFonts w:ascii="Times New Roman"/>
          <w:b w:val="false"/>
          <w:i w:val="false"/>
          <w:color w:val="000000"/>
          <w:sz w:val="28"/>
        </w:rPr>
        <w:t>
      - приемлемые схемы пастбищеоборотов;</w:t>
      </w:r>
    </w:p>
    <w:p>
      <w:pPr>
        <w:spacing w:after="0"/>
        <w:ind w:left="0"/>
        <w:jc w:val="both"/>
      </w:pPr>
      <w:r>
        <w:rPr>
          <w:rFonts w:ascii="Times New Roman"/>
          <w:b w:val="false"/>
          <w:i w:val="false"/>
          <w:color w:val="000000"/>
          <w:sz w:val="28"/>
        </w:rPr>
        <w:t>
      -карта внешних и внутренних границ и площадей пастбищ, в том числе сезонных, объектов пастбищной инфраструктуры;</w:t>
      </w:r>
    </w:p>
    <w:p>
      <w:pPr>
        <w:spacing w:after="0"/>
        <w:ind w:left="0"/>
        <w:jc w:val="both"/>
      </w:pPr>
      <w:r>
        <w:rPr>
          <w:rFonts w:ascii="Times New Roman"/>
          <w:b w:val="false"/>
          <w:i w:val="false"/>
          <w:color w:val="000000"/>
          <w:sz w:val="28"/>
        </w:rPr>
        <w:t>
      - схема размещения поголовья сельскохозяйственных животных на отгонных пастбищах физических лиц, не обеспеченных пастбищами, расположенными в сельском округе.</w:t>
      </w:r>
    </w:p>
    <w:p>
      <w:pPr>
        <w:spacing w:after="0"/>
        <w:ind w:left="0"/>
        <w:jc w:val="left"/>
      </w:pPr>
      <w:r>
        <w:rPr>
          <w:rFonts w:ascii="Times New Roman"/>
          <w:b/>
          <w:i w:val="false"/>
          <w:color w:val="000000"/>
        </w:rPr>
        <w:t xml:space="preserve"> 1. ОБЩИЕ СВЕДЕНИЯ</w:t>
      </w:r>
    </w:p>
    <w:p>
      <w:pPr>
        <w:spacing w:after="0"/>
        <w:ind w:left="0"/>
        <w:jc w:val="both"/>
      </w:pPr>
      <w:r>
        <w:rPr>
          <w:rFonts w:ascii="Times New Roman"/>
          <w:b w:val="false"/>
          <w:i w:val="false"/>
          <w:color w:val="000000"/>
          <w:sz w:val="28"/>
        </w:rPr>
        <w:t>
      Кокжиринский сельский округ расположен в центральной части Тарбагатайского района, его площадь 199,1 тысяч га, что составляет 8,4 % от площади района.</w:t>
      </w:r>
    </w:p>
    <w:p>
      <w:pPr>
        <w:spacing w:after="0"/>
        <w:ind w:left="0"/>
        <w:jc w:val="both"/>
      </w:pPr>
      <w:r>
        <w:rPr>
          <w:rFonts w:ascii="Times New Roman"/>
          <w:b w:val="false"/>
          <w:i w:val="false"/>
          <w:color w:val="000000"/>
          <w:sz w:val="28"/>
        </w:rPr>
        <w:t>
      На севере сельский округ граничит с землями Иргизбайского сельского округа, на юге граничит с землями Урджарского района, на западе граничит с землями Кызыл-Кесекского и Киндиктиского сельских округов, на востоке с землями Екпинского и Сатпаевского сельских округов.</w:t>
      </w:r>
    </w:p>
    <w:p>
      <w:pPr>
        <w:spacing w:after="0"/>
        <w:ind w:left="0"/>
        <w:jc w:val="both"/>
      </w:pPr>
      <w:r>
        <w:rPr>
          <w:rFonts w:ascii="Times New Roman"/>
          <w:b w:val="false"/>
          <w:i w:val="false"/>
          <w:color w:val="000000"/>
          <w:sz w:val="28"/>
        </w:rPr>
        <w:t>
      Центром сельского округа является село Кокжира расположенное в 18 км от районного центра с. Аксуат.</w:t>
      </w:r>
    </w:p>
    <w:p>
      <w:pPr>
        <w:spacing w:after="0"/>
        <w:ind w:left="0"/>
        <w:jc w:val="both"/>
      </w:pPr>
      <w:r>
        <w:rPr>
          <w:rFonts w:ascii="Times New Roman"/>
          <w:b w:val="false"/>
          <w:i w:val="false"/>
          <w:color w:val="000000"/>
          <w:sz w:val="28"/>
        </w:rPr>
        <w:t>
      Согласно административно-территориальному делению на территория сельского округа расположено 5 сельских населенных пункта: - с. Кокжыра, с. Базарка, с. Сериктес, с. Мурсалим, с. Кызбай.</w:t>
      </w:r>
    </w:p>
    <w:p>
      <w:pPr>
        <w:spacing w:after="0"/>
        <w:ind w:left="0"/>
        <w:jc w:val="both"/>
      </w:pPr>
      <w:r>
        <w:rPr>
          <w:rFonts w:ascii="Times New Roman"/>
          <w:b w:val="false"/>
          <w:i w:val="false"/>
          <w:color w:val="000000"/>
          <w:sz w:val="28"/>
        </w:rPr>
        <w:t>
      Транспортная связь с райцентром осуществляется по автодороге областного значения Аксуат – Кокжыра – пикет Бугаз. Дорога по техническому состоянию относится к IV категории с твердым покрытием. Связь с населенными пунктами внутри сельского округа осуществляется по асфальтированным и гравийным межхозяйственным дорогам.</w:t>
      </w:r>
    </w:p>
    <w:p>
      <w:pPr>
        <w:spacing w:after="0"/>
        <w:ind w:left="0"/>
        <w:jc w:val="both"/>
      </w:pPr>
      <w:r>
        <w:rPr>
          <w:rFonts w:ascii="Times New Roman"/>
          <w:b w:val="false"/>
          <w:i w:val="false"/>
          <w:color w:val="000000"/>
          <w:sz w:val="28"/>
        </w:rPr>
        <w:t>
      Основное производственное направление в сельском округе – животноводство в котором преобладают – мясное скотоводство, овцеводство и коневодство. В личных подсобных хозяйствах округа имеется 3351 головы крупного рогатого скота, 411 голов лошадей и 1275 голов овец и коз.</w:t>
      </w:r>
    </w:p>
    <w:p>
      <w:pPr>
        <w:spacing w:after="0"/>
        <w:ind w:left="0"/>
        <w:jc w:val="left"/>
      </w:pPr>
      <w:r>
        <w:rPr>
          <w:rFonts w:ascii="Times New Roman"/>
          <w:b/>
          <w:i w:val="false"/>
          <w:color w:val="000000"/>
        </w:rPr>
        <w:t xml:space="preserve"> 2. РАСТИТЕЛЬНОСТЬ</w:t>
      </w:r>
    </w:p>
    <w:p>
      <w:pPr>
        <w:spacing w:after="0"/>
        <w:ind w:left="0"/>
        <w:jc w:val="both"/>
      </w:pPr>
      <w:r>
        <w:rPr>
          <w:rFonts w:ascii="Times New Roman"/>
          <w:b w:val="false"/>
          <w:i w:val="false"/>
          <w:color w:val="000000"/>
          <w:sz w:val="28"/>
        </w:rPr>
        <w:t>
      На территории округа выделяются следующие растительные зоны:</w:t>
      </w:r>
    </w:p>
    <w:bookmarkStart w:name="z22" w:id="4"/>
    <w:p>
      <w:pPr>
        <w:spacing w:after="0"/>
        <w:ind w:left="0"/>
        <w:jc w:val="both"/>
      </w:pPr>
      <w:r>
        <w:rPr>
          <w:rFonts w:ascii="Times New Roman"/>
          <w:b w:val="false"/>
          <w:i w:val="false"/>
          <w:color w:val="000000"/>
          <w:sz w:val="28"/>
        </w:rPr>
        <w:t>
      1. Предгорная пустынно-степная зона переходная от степей к пустыням. Характерным для этой зоны является наличие в составе растительности степных ксероморфных дернинных злаков и пустынных ксероморфных кустарничков. Сомкнутость растительности не превышает 30-40%, ее высота до 30-40см. Урожайность сухой растительной массы 3- 4ц/га.</w:t>
      </w:r>
    </w:p>
    <w:bookmarkEnd w:id="4"/>
    <w:bookmarkStart w:name="z23" w:id="5"/>
    <w:p>
      <w:pPr>
        <w:spacing w:after="0"/>
        <w:ind w:left="0"/>
        <w:jc w:val="both"/>
      </w:pPr>
      <w:r>
        <w:rPr>
          <w:rFonts w:ascii="Times New Roman"/>
          <w:b w:val="false"/>
          <w:i w:val="false"/>
          <w:color w:val="000000"/>
          <w:sz w:val="28"/>
        </w:rPr>
        <w:t>
      2. Пустынная зона образуется полынными, полынно-солянковыми и злаково-полынными, отчасти кустарниковыми северными пустынями. В растительном покрове господствуют ксерофиты и галофиты (полынь селетяная, на песках – полынь песчаная и метельчатая), кустарники – саксаул Зайсанский, травянистые своды, солянки качким, полукустарники – ежовник солончаковый, прутняк просторный и др. Сомкнутость растительности не превышает 30-40 %, ее высота до 10-30 см. Урожайность сухой растительной массы 1- 4 ц/га.</w:t>
      </w:r>
    </w:p>
    <w:bookmarkEnd w:id="5"/>
    <w:bookmarkStart w:name="z3" w:id="6"/>
    <w:p>
      <w:pPr>
        <w:spacing w:after="0"/>
        <w:ind w:left="0"/>
        <w:jc w:val="left"/>
      </w:pPr>
      <w:r>
        <w:rPr>
          <w:rFonts w:ascii="Times New Roman"/>
          <w:b/>
          <w:i w:val="false"/>
          <w:color w:val="000000"/>
        </w:rPr>
        <w:t xml:space="preserve"> 3. ОРГАНИЗАЦИЯ ТЕРРИТОРИИ ПАСТБИЩ</w:t>
      </w:r>
    </w:p>
    <w:bookmarkEnd w:id="6"/>
    <w:p>
      <w:pPr>
        <w:spacing w:after="0"/>
        <w:ind w:left="0"/>
        <w:jc w:val="both"/>
      </w:pPr>
      <w:r>
        <w:rPr>
          <w:rFonts w:ascii="Times New Roman"/>
          <w:b w:val="false"/>
          <w:i w:val="false"/>
          <w:color w:val="000000"/>
          <w:sz w:val="28"/>
        </w:rPr>
        <w:t>
      В создании прочной кормовой базы для животноводства и предотвращения процессов деградации пастбищ необходимо правильное использование пастбищ, которые являются одним из основных источников дешевых н питательных кормов.</w:t>
      </w:r>
    </w:p>
    <w:p>
      <w:pPr>
        <w:spacing w:after="0"/>
        <w:ind w:left="0"/>
        <w:jc w:val="both"/>
      </w:pPr>
      <w:r>
        <w:rPr>
          <w:rFonts w:ascii="Times New Roman"/>
          <w:b w:val="false"/>
          <w:i w:val="false"/>
          <w:color w:val="000000"/>
          <w:sz w:val="28"/>
        </w:rPr>
        <w:t xml:space="preserve">
      Основой рационального использования естественных пастбищ является пастбищеоборот. </w:t>
      </w:r>
    </w:p>
    <w:p>
      <w:pPr>
        <w:spacing w:after="0"/>
        <w:ind w:left="0"/>
        <w:jc w:val="both"/>
      </w:pPr>
      <w:r>
        <w:rPr>
          <w:rFonts w:ascii="Times New Roman"/>
          <w:b w:val="false"/>
          <w:i w:val="false"/>
          <w:color w:val="000000"/>
          <w:sz w:val="28"/>
        </w:rPr>
        <w:t>
      Пастбищоборот - это система использования пастбищ и ухода за ними, направленная на поддержание и увеличение продуктивности травостоя. Система, в которой отдельные приемы использования и ухода чередуются, повторяясь по годам в определенной последовательности. Своевременное стравливание травостоя на определенных типах пастбищ, учитывая особенности вегетации растительности; наименьшее количество затрат на организацию пастбищного хозяйства; правильное размещение пастбищных участков, водоисточников и сведения к минимуму холостых передвижений животных, соблюдение необходимых ветеринарно-профилактических требований.</w:t>
      </w:r>
    </w:p>
    <w:p>
      <w:pPr>
        <w:spacing w:after="0"/>
        <w:ind w:left="0"/>
        <w:jc w:val="both"/>
      </w:pPr>
      <w:r>
        <w:rPr>
          <w:rFonts w:ascii="Times New Roman"/>
          <w:b w:val="false"/>
          <w:i w:val="false"/>
          <w:color w:val="000000"/>
          <w:sz w:val="28"/>
        </w:rPr>
        <w:t>
      Использование пастбищ в системе пастбищеоборотов должно обеспечивать удовлетворение каждой группы животных необходимыми пастбищным кормом, предоставляя периодически отдых сильно сбитым участкам, и, предупреждая таким образом, ухудшение качества травостоя.</w:t>
      </w:r>
    </w:p>
    <w:p>
      <w:pPr>
        <w:spacing w:after="0"/>
        <w:ind w:left="0"/>
        <w:jc w:val="both"/>
      </w:pPr>
      <w:r>
        <w:rPr>
          <w:rFonts w:ascii="Times New Roman"/>
          <w:b w:val="false"/>
          <w:i w:val="false"/>
          <w:color w:val="000000"/>
          <w:sz w:val="28"/>
        </w:rPr>
        <w:t xml:space="preserve">
      Предоставление пастбищам отдых в определенное время сезона – одно из важнейших мероприятий по их улучшению. В течение этого времени растения осеменяются и дают всходы молодых побегов, улучшается ботанический состав растительного покрова. Отдых пастбищ дает заметное увеличение урожайности и полезен для всех видов пастбищ. </w:t>
      </w:r>
    </w:p>
    <w:p>
      <w:pPr>
        <w:spacing w:after="0"/>
        <w:ind w:left="0"/>
        <w:jc w:val="both"/>
      </w:pPr>
      <w:r>
        <w:rPr>
          <w:rFonts w:ascii="Times New Roman"/>
          <w:b w:val="false"/>
          <w:i w:val="false"/>
          <w:color w:val="000000"/>
          <w:sz w:val="28"/>
        </w:rPr>
        <w:t>
      Для различных природных зон и типов пастбищ Казахстана Институтом лугов и пастбищ разработаны соответствующие схемы пастбишеоборота.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1</w:t>
            </w:r>
          </w:p>
        </w:tc>
      </w:tr>
    </w:tbl>
    <w:p>
      <w:pPr>
        <w:spacing w:after="0"/>
        <w:ind w:left="0"/>
        <w:jc w:val="both"/>
      </w:pPr>
      <w:r>
        <w:rPr>
          <w:rFonts w:ascii="Times New Roman"/>
          <w:b w:val="false"/>
          <w:i w:val="false"/>
          <w:color w:val="000000"/>
          <w:sz w:val="28"/>
        </w:rPr>
        <w:t>
      Схема пятипольного пастбищеоборота на весенне-летне-осенних пастбищах</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Поля</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Весна-лето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Лето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Лето-осень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Осень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Отдых</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Отдых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Весна-лето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Лето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Лето-осень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Осень</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Осень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Отдых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Весна-лето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Лето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Лето-осень</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Лето-осень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Осень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Отдых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Весна-лето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Лето</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Лето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Лето-осень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Осень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Отдых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Весна-лето</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2</w:t>
            </w:r>
          </w:p>
        </w:tc>
      </w:tr>
    </w:tbl>
    <w:p>
      <w:pPr>
        <w:spacing w:after="0"/>
        <w:ind w:left="0"/>
        <w:jc w:val="both"/>
      </w:pPr>
      <w:r>
        <w:rPr>
          <w:rFonts w:ascii="Times New Roman"/>
          <w:b w:val="false"/>
          <w:i w:val="false"/>
          <w:color w:val="000000"/>
          <w:sz w:val="28"/>
        </w:rPr>
        <w:t>
      Схема четырехпольного пастбищеоборота на летних пастбищах</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поля</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отдых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начало лета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средина лета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конец лета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конец лета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отдых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начало лета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средина лета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средина лета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конец лета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отдых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начало лета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начало лета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средина лета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конец лета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отдых</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3</w:t>
            </w:r>
          </w:p>
        </w:tc>
      </w:tr>
    </w:tbl>
    <w:p>
      <w:pPr>
        <w:spacing w:after="0"/>
        <w:ind w:left="0"/>
        <w:jc w:val="both"/>
      </w:pPr>
      <w:r>
        <w:rPr>
          <w:rFonts w:ascii="Times New Roman"/>
          <w:b w:val="false"/>
          <w:i w:val="false"/>
          <w:color w:val="000000"/>
          <w:sz w:val="28"/>
        </w:rPr>
        <w:t>
      Схема четырехпольного пастбищеоборота на зимних пастбищах</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поля</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отдых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начало зимы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средина зимы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конец зимы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конец зимы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отдых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начало зимы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средина зимы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средина зимы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конец зимы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отдых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начало зимы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начало зимы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средина зимы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конец зимы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отдых</w:t>
            </w:r>
          </w:p>
        </w:tc>
      </w:tr>
    </w:tbl>
    <w:p>
      <w:pPr>
        <w:spacing w:after="0"/>
        <w:ind w:left="0"/>
        <w:jc w:val="both"/>
      </w:pPr>
      <w:r>
        <w:rPr>
          <w:rFonts w:ascii="Times New Roman"/>
          <w:b w:val="false"/>
          <w:i w:val="false"/>
          <w:color w:val="000000"/>
          <w:sz w:val="28"/>
        </w:rPr>
        <w:t>
      Площадь пастбищеоборотных участков определяется исходя из продолжительности пастбищного периода, норм пастбищного корма на одну голову и урожайности пастбищ. Средний размер поля пастбищеоборота составляет от 600 до 1500 га. Использование пастбищ в определенной системе пастбищеоборота является важным условием сохранения ботанического состава травостоя и поддержание его природной урожайности.</w:t>
      </w:r>
    </w:p>
    <w:p>
      <w:pPr>
        <w:spacing w:after="0"/>
        <w:ind w:left="0"/>
        <w:jc w:val="both"/>
      </w:pPr>
      <w:r>
        <w:rPr>
          <w:rFonts w:ascii="Times New Roman"/>
          <w:b w:val="false"/>
          <w:i w:val="false"/>
          <w:color w:val="000000"/>
          <w:sz w:val="28"/>
        </w:rPr>
        <w:t>
      Для правильного пастбищного содержания скота, повышения продуктивности, большое значение имеет организация загонной пастьбы.</w:t>
      </w:r>
    </w:p>
    <w:p>
      <w:pPr>
        <w:spacing w:after="0"/>
        <w:ind w:left="0"/>
        <w:jc w:val="both"/>
      </w:pPr>
      <w:r>
        <w:rPr>
          <w:rFonts w:ascii="Times New Roman"/>
          <w:b w:val="false"/>
          <w:i w:val="false"/>
          <w:color w:val="000000"/>
          <w:sz w:val="28"/>
        </w:rPr>
        <w:t>
      Использование пастбищ по загонам предохраняет травостой от вытаптывания, создает возможность отдыха части загона от выпаса на длительный период, что обеспечивает нормальное отрастание травы и повышение продуктивности пастбищ.</w:t>
      </w:r>
    </w:p>
    <w:p>
      <w:pPr>
        <w:spacing w:after="0"/>
        <w:ind w:left="0"/>
        <w:jc w:val="both"/>
      </w:pPr>
      <w:r>
        <w:rPr>
          <w:rFonts w:ascii="Times New Roman"/>
          <w:b w:val="false"/>
          <w:i w:val="false"/>
          <w:color w:val="000000"/>
          <w:sz w:val="28"/>
        </w:rPr>
        <w:t xml:space="preserve">
      Загонная пастьба способствует оздоровлению пастбищ и является профилактическим мероприятием в борьбе с глистными заболеваниями. </w:t>
      </w:r>
    </w:p>
    <w:p>
      <w:pPr>
        <w:spacing w:after="0"/>
        <w:ind w:left="0"/>
        <w:jc w:val="both"/>
      </w:pPr>
      <w:r>
        <w:rPr>
          <w:rFonts w:ascii="Times New Roman"/>
          <w:b w:val="false"/>
          <w:i w:val="false"/>
          <w:color w:val="000000"/>
          <w:sz w:val="28"/>
        </w:rPr>
        <w:t>
      Количество загонов их размер и конфигурация, а также размещение их в границах каждого поля пастбищеоборота зависит от типа пастбищ, вида выпасаемых животных и конкретных организационно-хозяйственных условий.</w:t>
      </w:r>
    </w:p>
    <w:p>
      <w:pPr>
        <w:spacing w:after="0"/>
        <w:ind w:left="0"/>
        <w:jc w:val="both"/>
      </w:pPr>
      <w:r>
        <w:rPr>
          <w:rFonts w:ascii="Times New Roman"/>
          <w:b w:val="false"/>
          <w:i w:val="false"/>
          <w:color w:val="000000"/>
          <w:sz w:val="28"/>
        </w:rPr>
        <w:t>
      Исходя из наличия поголовья животных в домашних хозяйствах на 1 июля 2021 года, по данным предоставленным акимами сельских округов с учетом норм кормления и удельного содержания пастбищного корма в рационе кормления, а также кормоемкости пастбищных угодий, принятых по материалам геоботанического обследования 1987 года, рассчитаны площади пастбищ, необходимых для обеспечения имеющегося поголовья животных пастбищным кормом (таблица 4).</w:t>
      </w:r>
    </w:p>
    <w:p>
      <w:pPr>
        <w:spacing w:after="0"/>
        <w:ind w:left="0"/>
        <w:jc w:val="both"/>
      </w:pPr>
      <w:r>
        <w:rPr>
          <w:rFonts w:ascii="Times New Roman"/>
          <w:b w:val="false"/>
          <w:i w:val="false"/>
          <w:color w:val="000000"/>
          <w:sz w:val="28"/>
        </w:rPr>
        <w:t>
      При закреплении пастбищных угодий за группами и видами животных важное значение имеет наличие водных источников для водопоя. Основная площадь пастбищ обводнена за счет естественных водных источников (водохранилище, озера, реки, ручьи, родники, пруды). Водопой животных осуществляется непосредственно из водных источников, водопойные пункты отсутствуют. Вода во всех источниках хорошего качества, пригодна для водопоя скота. При закреплении пастбищ учитывался предельно допустимый радиус водопоя скота: для овец и коз – 6 км, для коров – 2,5 км, для лошадей – 8 км.</w:t>
      </w:r>
    </w:p>
    <w:p>
      <w:pPr>
        <w:spacing w:after="0"/>
        <w:ind w:left="0"/>
        <w:jc w:val="both"/>
      </w:pPr>
      <w:r>
        <w:rPr>
          <w:rFonts w:ascii="Times New Roman"/>
          <w:b w:val="false"/>
          <w:i w:val="false"/>
          <w:color w:val="000000"/>
          <w:sz w:val="28"/>
        </w:rPr>
        <w:t xml:space="preserve">
      Кроме того, учтено допустимое поголовье животных, обслуживаемое одним водопойным пунктом: - 250 голов КРС или лошадей, - 2000 голов овец. На рассматриваемой территории имеются трубчатые и шахтные колодцы за счет которых обводнены зимние пастбища </w:t>
      </w:r>
    </w:p>
    <w:p>
      <w:pPr>
        <w:spacing w:after="0"/>
        <w:ind w:left="0"/>
        <w:jc w:val="both"/>
      </w:pPr>
      <w:r>
        <w:rPr>
          <w:rFonts w:ascii="Times New Roman"/>
          <w:b w:val="false"/>
          <w:i w:val="false"/>
          <w:color w:val="000000"/>
          <w:sz w:val="28"/>
        </w:rPr>
        <w:t>
      В округе, в основном, разводят крупный рогатый скот мясного направления. В мясном скотоводстве принято кормить животных с большим удельным весом пастбищной травы и высококачественного сена, при малых затратах сочных и концентрированных кормов. На хороших пастбищах можно получать на голову средний суточный привес от 700г. и более в зависимости от возраста. Природно-климатическими условиями зоны, структурой и качеством сельскохозяйственных угодий определена стойлово-пастбищная система содержания скота. Продолжительность стойлового периода составляет 130-150 дней. Пастбищный период длится 210-230 дней, начинается в начале апреля и заканчивается в конце ноября. На зимний период скот концентрируется на фермах при населенных пунктах и на зимовках.</w:t>
      </w:r>
    </w:p>
    <w:p>
      <w:pPr>
        <w:spacing w:after="0"/>
        <w:ind w:left="0"/>
        <w:jc w:val="both"/>
      </w:pPr>
      <w:r>
        <w:rPr>
          <w:rFonts w:ascii="Times New Roman"/>
          <w:b w:val="false"/>
          <w:i w:val="false"/>
          <w:color w:val="000000"/>
          <w:sz w:val="28"/>
        </w:rPr>
        <w:t>
      Поголовье крупного рогатого скота представлено в основном казахской белоголовой, алатауской породами, а также помесью других пород.</w:t>
      </w:r>
    </w:p>
    <w:p>
      <w:pPr>
        <w:spacing w:after="0"/>
        <w:ind w:left="0"/>
        <w:jc w:val="both"/>
      </w:pPr>
      <w:r>
        <w:rPr>
          <w:rFonts w:ascii="Times New Roman"/>
          <w:b w:val="false"/>
          <w:i w:val="false"/>
          <w:color w:val="000000"/>
          <w:sz w:val="28"/>
        </w:rPr>
        <w:t>
      Коневодство является одной из отраслей животноводства района, источником производства высококачественной и диетической конины, целебного напитка – кумыса, кожевенного сырья. В округе имеется 411 голов лошадей. Развитию табунного коневодства благоприятствует наличие обширных массивов горных и предгорных пастбищ с богатой по составу и питательности растительностью и источниками водопоя. В хозяйствах района разводят ряд отродий казахской лошади, из них основным является тип "Джабе". Казахская лошадь "Джабе" - крупного и компактного сложения. Система содержания лошадей – конюшенно-пастбищная. Продолжительность пастбищного периода составляет 300-320 дней.</w:t>
      </w:r>
    </w:p>
    <w:p>
      <w:pPr>
        <w:spacing w:after="0"/>
        <w:ind w:left="0"/>
        <w:jc w:val="both"/>
      </w:pPr>
      <w:r>
        <w:rPr>
          <w:rFonts w:ascii="Times New Roman"/>
          <w:b w:val="false"/>
          <w:i w:val="false"/>
          <w:color w:val="000000"/>
          <w:sz w:val="28"/>
        </w:rPr>
        <w:t xml:space="preserve">
      Овцеводство является одной из основных отраслей животноводства района, источником производства баранины и шерсти, а также кожевенно-шубно-мехового сырья. В округе имеется 1275 голов овец и коз. Исключительная приспособленность овец к суровым пастбищным условиям содержания в сухостепных и полупустынных зонах, высокая шерстная и мясосальная продуктивность делают отрасль перспективной в районе. В районе выращивают овец Алтайской и Эдильбаевской пород. Система содержания овец – полустойловая, при которой овец пасут круглый год, но в зимний и ранневесенний периоды ежедневно подкармливают сеном и концкормами.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4</w:t>
            </w:r>
          </w:p>
        </w:tc>
      </w:tr>
    </w:tbl>
    <w:p>
      <w:pPr>
        <w:spacing w:after="0"/>
        <w:ind w:left="0"/>
        <w:jc w:val="both"/>
      </w:pPr>
      <w:r>
        <w:rPr>
          <w:rFonts w:ascii="Times New Roman"/>
          <w:b w:val="false"/>
          <w:i w:val="false"/>
          <w:color w:val="000000"/>
          <w:sz w:val="28"/>
        </w:rPr>
        <w:t>
      Расчет потребности пастбищ для выпаса сельскохозяйственных животных по сельскому округу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p>
            <w:pPr>
              <w:spacing w:after="20"/>
              <w:ind w:left="20"/>
              <w:jc w:val="both"/>
            </w:pPr>
            <w:r>
              <w:rPr>
                <w:rFonts w:ascii="Times New Roman"/>
                <w:b w:val="false"/>
                <w:i w:val="false"/>
                <w:color w:val="000000"/>
                <w:sz w:val="20"/>
              </w:rPr>
              <w:t>
сельского округа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w:t>
            </w:r>
          </w:p>
          <w:p>
            <w:pPr>
              <w:spacing w:after="20"/>
              <w:ind w:left="20"/>
              <w:jc w:val="both"/>
            </w:pPr>
            <w:r>
              <w:rPr>
                <w:rFonts w:ascii="Times New Roman"/>
                <w:b w:val="false"/>
                <w:i w:val="false"/>
                <w:color w:val="000000"/>
                <w:sz w:val="20"/>
              </w:rPr>
              <w:t>
скота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p>
            <w:pPr>
              <w:spacing w:after="20"/>
              <w:ind w:left="20"/>
              <w:jc w:val="both"/>
            </w:pPr>
            <w:r>
              <w:rPr>
                <w:rFonts w:ascii="Times New Roman"/>
                <w:b w:val="false"/>
                <w:i w:val="false"/>
                <w:color w:val="000000"/>
                <w:sz w:val="20"/>
              </w:rPr>
              <w:t>
голов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Требуется паст-бищных кормов, ц</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Выход пастбищных кор-мов с</w:t>
            </w:r>
          </w:p>
          <w:p>
            <w:pPr>
              <w:spacing w:after="20"/>
              <w:ind w:left="20"/>
              <w:jc w:val="both"/>
            </w:pPr>
            <w:r>
              <w:rPr>
                <w:rFonts w:ascii="Times New Roman"/>
                <w:b w:val="false"/>
                <w:i w:val="false"/>
                <w:color w:val="000000"/>
                <w:sz w:val="20"/>
              </w:rPr>
              <w:t>
1 га, ц</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Требу-ется пастбищ, га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голо-ву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Кокжиринский с/о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КРС</w:t>
            </w:r>
          </w:p>
          <w:p>
            <w:pPr>
              <w:spacing w:after="20"/>
              <w:ind w:left="20"/>
              <w:jc w:val="both"/>
            </w:pPr>
            <w:r>
              <w:rPr>
                <w:rFonts w:ascii="Times New Roman"/>
                <w:b w:val="false"/>
                <w:i w:val="false"/>
                <w:color w:val="000000"/>
                <w:sz w:val="20"/>
              </w:rPr>
              <w:t>
овцы,козы</w:t>
            </w:r>
          </w:p>
          <w:p>
            <w:pPr>
              <w:spacing w:after="20"/>
              <w:ind w:left="20"/>
              <w:jc w:val="both"/>
            </w:pPr>
            <w:r>
              <w:rPr>
                <w:rFonts w:ascii="Times New Roman"/>
                <w:b w:val="false"/>
                <w:i w:val="false"/>
                <w:color w:val="000000"/>
                <w:sz w:val="20"/>
              </w:rPr>
              <w:t>
лошади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3351</w:t>
            </w:r>
          </w:p>
          <w:p>
            <w:pPr>
              <w:spacing w:after="20"/>
              <w:ind w:left="20"/>
              <w:jc w:val="both"/>
            </w:pPr>
            <w:r>
              <w:rPr>
                <w:rFonts w:ascii="Times New Roman"/>
                <w:b w:val="false"/>
                <w:i w:val="false"/>
                <w:color w:val="000000"/>
                <w:sz w:val="20"/>
              </w:rPr>
              <w:t>
1275</w:t>
            </w:r>
          </w:p>
          <w:p>
            <w:pPr>
              <w:spacing w:after="20"/>
              <w:ind w:left="20"/>
              <w:jc w:val="both"/>
            </w:pPr>
            <w:r>
              <w:rPr>
                <w:rFonts w:ascii="Times New Roman"/>
                <w:b w:val="false"/>
                <w:i w:val="false"/>
                <w:color w:val="000000"/>
                <w:sz w:val="20"/>
              </w:rPr>
              <w:t>
411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40</w:t>
            </w: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165285</w:t>
            </w:r>
          </w:p>
          <w:p>
            <w:pPr>
              <w:spacing w:after="20"/>
              <w:ind w:left="20"/>
              <w:jc w:val="both"/>
            </w:pPr>
            <w:r>
              <w:rPr>
                <w:rFonts w:ascii="Times New Roman"/>
                <w:b w:val="false"/>
                <w:i w:val="false"/>
                <w:color w:val="000000"/>
                <w:sz w:val="20"/>
              </w:rPr>
              <w:t>
134040</w:t>
            </w:r>
          </w:p>
          <w:p>
            <w:pPr>
              <w:spacing w:after="20"/>
              <w:ind w:left="20"/>
              <w:jc w:val="both"/>
            </w:pPr>
            <w:r>
              <w:rPr>
                <w:rFonts w:ascii="Times New Roman"/>
                <w:b w:val="false"/>
                <w:i w:val="false"/>
                <w:color w:val="000000"/>
                <w:sz w:val="20"/>
              </w:rPr>
              <w:t>
12750</w:t>
            </w:r>
          </w:p>
          <w:p>
            <w:pPr>
              <w:spacing w:after="20"/>
              <w:ind w:left="20"/>
              <w:jc w:val="both"/>
            </w:pPr>
            <w:r>
              <w:rPr>
                <w:rFonts w:ascii="Times New Roman"/>
                <w:b w:val="false"/>
                <w:i w:val="false"/>
                <w:color w:val="000000"/>
                <w:sz w:val="20"/>
              </w:rPr>
              <w:t>
18495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16528,5</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Таблица 5</w:t>
            </w:r>
          </w:p>
        </w:tc>
      </w:tr>
    </w:tbl>
    <w:p>
      <w:pPr>
        <w:spacing w:after="0"/>
        <w:ind w:left="0"/>
        <w:jc w:val="both"/>
      </w:pPr>
      <w:r>
        <w:rPr>
          <w:rFonts w:ascii="Times New Roman"/>
          <w:b w:val="false"/>
          <w:i w:val="false"/>
          <w:color w:val="000000"/>
          <w:sz w:val="28"/>
        </w:rPr>
        <w:t>
      Обеспеченность пастбищами скота по сельскому округу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p>
            <w:pPr>
              <w:spacing w:after="20"/>
              <w:ind w:left="20"/>
              <w:jc w:val="both"/>
            </w:pPr>
            <w:r>
              <w:rPr>
                <w:rFonts w:ascii="Times New Roman"/>
                <w:b w:val="false"/>
                <w:i w:val="false"/>
                <w:color w:val="000000"/>
                <w:sz w:val="20"/>
              </w:rPr>
              <w:t>
сельского</w:t>
            </w:r>
          </w:p>
          <w:p>
            <w:pPr>
              <w:spacing w:after="20"/>
              <w:ind w:left="20"/>
              <w:jc w:val="both"/>
            </w:pPr>
            <w:r>
              <w:rPr>
                <w:rFonts w:ascii="Times New Roman"/>
                <w:b w:val="false"/>
                <w:i w:val="false"/>
                <w:color w:val="000000"/>
                <w:sz w:val="20"/>
              </w:rPr>
              <w:t>
округа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w:t>
            </w:r>
          </w:p>
          <w:p>
            <w:pPr>
              <w:spacing w:after="20"/>
              <w:ind w:left="20"/>
              <w:jc w:val="both"/>
            </w:pPr>
            <w:r>
              <w:rPr>
                <w:rFonts w:ascii="Times New Roman"/>
                <w:b w:val="false"/>
                <w:i w:val="false"/>
                <w:color w:val="000000"/>
                <w:sz w:val="20"/>
              </w:rPr>
              <w:t>
скота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Пого-ловье</w:t>
            </w:r>
          </w:p>
          <w:p>
            <w:pPr>
              <w:spacing w:after="20"/>
              <w:ind w:left="20"/>
              <w:jc w:val="both"/>
            </w:pPr>
            <w:r>
              <w:rPr>
                <w:rFonts w:ascii="Times New Roman"/>
                <w:b w:val="false"/>
                <w:i w:val="false"/>
                <w:color w:val="000000"/>
                <w:sz w:val="20"/>
              </w:rPr>
              <w:t>
(фактич)</w:t>
            </w:r>
          </w:p>
          <w:p>
            <w:pPr>
              <w:spacing w:after="20"/>
              <w:ind w:left="20"/>
              <w:jc w:val="both"/>
            </w:pPr>
            <w:r>
              <w:rPr>
                <w:rFonts w:ascii="Times New Roman"/>
                <w:b w:val="false"/>
                <w:i w:val="false"/>
                <w:color w:val="000000"/>
                <w:sz w:val="20"/>
              </w:rPr>
              <w:t>
голов</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Требуется</w:t>
            </w:r>
          </w:p>
          <w:p>
            <w:pPr>
              <w:spacing w:after="20"/>
              <w:ind w:left="20"/>
              <w:jc w:val="both"/>
            </w:pPr>
            <w:r>
              <w:rPr>
                <w:rFonts w:ascii="Times New Roman"/>
                <w:b w:val="false"/>
                <w:i w:val="false"/>
                <w:color w:val="000000"/>
                <w:sz w:val="20"/>
              </w:rPr>
              <w:t>
пастбищ</w:t>
            </w:r>
          </w:p>
          <w:p>
            <w:pPr>
              <w:spacing w:after="20"/>
              <w:ind w:left="20"/>
              <w:jc w:val="both"/>
            </w:pPr>
            <w:r>
              <w:rPr>
                <w:rFonts w:ascii="Times New Roman"/>
                <w:b w:val="false"/>
                <w:i w:val="false"/>
                <w:color w:val="000000"/>
                <w:sz w:val="20"/>
              </w:rPr>
              <w:t>
га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пастбищ в границах:</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Недостаток –</w:t>
            </w:r>
          </w:p>
          <w:p>
            <w:pPr>
              <w:spacing w:after="20"/>
              <w:ind w:left="20"/>
              <w:jc w:val="both"/>
            </w:pPr>
            <w:r>
              <w:rPr>
                <w:rFonts w:ascii="Times New Roman"/>
                <w:b w:val="false"/>
                <w:i w:val="false"/>
                <w:color w:val="000000"/>
                <w:sz w:val="20"/>
              </w:rPr>
              <w:t>
(излишек +), га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Населен-ных пунктов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катего-рии земель с/х назнач.</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Кокжирин-ский с/о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КРС</w:t>
            </w:r>
          </w:p>
          <w:p>
            <w:pPr>
              <w:spacing w:after="20"/>
              <w:ind w:left="20"/>
              <w:jc w:val="both"/>
            </w:pPr>
            <w:r>
              <w:rPr>
                <w:rFonts w:ascii="Times New Roman"/>
                <w:b w:val="false"/>
                <w:i w:val="false"/>
                <w:color w:val="000000"/>
                <w:sz w:val="20"/>
              </w:rPr>
              <w:t>
овцы и козы</w:t>
            </w:r>
          </w:p>
          <w:p>
            <w:pPr>
              <w:spacing w:after="20"/>
              <w:ind w:left="20"/>
              <w:jc w:val="both"/>
            </w:pPr>
            <w:r>
              <w:rPr>
                <w:rFonts w:ascii="Times New Roman"/>
                <w:b w:val="false"/>
                <w:i w:val="false"/>
                <w:color w:val="000000"/>
                <w:sz w:val="20"/>
              </w:rPr>
              <w:t>
лошади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3351</w:t>
            </w:r>
          </w:p>
          <w:p>
            <w:pPr>
              <w:spacing w:after="20"/>
              <w:ind w:left="20"/>
              <w:jc w:val="both"/>
            </w:pPr>
            <w:r>
              <w:rPr>
                <w:rFonts w:ascii="Times New Roman"/>
                <w:b w:val="false"/>
                <w:i w:val="false"/>
                <w:color w:val="000000"/>
                <w:sz w:val="20"/>
              </w:rPr>
              <w:t>
1275</w:t>
            </w:r>
          </w:p>
          <w:p>
            <w:pPr>
              <w:spacing w:after="20"/>
              <w:ind w:left="20"/>
              <w:jc w:val="both"/>
            </w:pPr>
            <w:r>
              <w:rPr>
                <w:rFonts w:ascii="Times New Roman"/>
                <w:b w:val="false"/>
                <w:i w:val="false"/>
                <w:color w:val="000000"/>
                <w:sz w:val="20"/>
              </w:rPr>
              <w:t>
411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16528,5</w:t>
            </w:r>
          </w:p>
          <w:p>
            <w:pPr>
              <w:spacing w:after="20"/>
              <w:ind w:left="20"/>
              <w:jc w:val="both"/>
            </w:pPr>
            <w:r>
              <w:rPr>
                <w:rFonts w:ascii="Times New Roman"/>
                <w:b w:val="false"/>
                <w:i w:val="false"/>
                <w:color w:val="000000"/>
                <w:sz w:val="20"/>
              </w:rPr>
              <w:t>
13404</w:t>
            </w:r>
          </w:p>
          <w:p>
            <w:pPr>
              <w:spacing w:after="20"/>
              <w:ind w:left="20"/>
              <w:jc w:val="both"/>
            </w:pPr>
            <w:r>
              <w:rPr>
                <w:rFonts w:ascii="Times New Roman"/>
                <w:b w:val="false"/>
                <w:i w:val="false"/>
                <w:color w:val="000000"/>
                <w:sz w:val="20"/>
              </w:rPr>
              <w:t>
1275</w:t>
            </w:r>
          </w:p>
          <w:p>
            <w:pPr>
              <w:spacing w:after="20"/>
              <w:ind w:left="20"/>
              <w:jc w:val="both"/>
            </w:pPr>
            <w:r>
              <w:rPr>
                <w:rFonts w:ascii="Times New Roman"/>
                <w:b w:val="false"/>
                <w:i w:val="false"/>
                <w:color w:val="000000"/>
                <w:sz w:val="20"/>
              </w:rPr>
              <w:t>
1849,5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16107,3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- 421,2</w:t>
            </w:r>
          </w:p>
        </w:tc>
      </w:tr>
    </w:tbl>
    <w:bookmarkStart w:name="z9" w:id="7"/>
    <w:p>
      <w:pPr>
        <w:spacing w:after="0"/>
        <w:ind w:left="0"/>
        <w:jc w:val="left"/>
      </w:pPr>
      <w:r>
        <w:rPr>
          <w:rFonts w:ascii="Times New Roman"/>
          <w:b/>
          <w:i w:val="false"/>
          <w:color w:val="000000"/>
        </w:rPr>
        <w:t xml:space="preserve"> 6. ПРИРОДООХРАННЫЕ МЕРОПРИЯТИЯ</w:t>
      </w:r>
    </w:p>
    <w:bookmarkEnd w:id="7"/>
    <w:p>
      <w:pPr>
        <w:spacing w:after="0"/>
        <w:ind w:left="0"/>
        <w:jc w:val="both"/>
      </w:pPr>
      <w:r>
        <w:rPr>
          <w:rFonts w:ascii="Times New Roman"/>
          <w:b w:val="false"/>
          <w:i w:val="false"/>
          <w:color w:val="000000"/>
          <w:sz w:val="28"/>
        </w:rPr>
        <w:t>
      Охрана природы является одной из основных экономических проблем рационального использования земель, сохранения и повышения плодородия почвы. Одним из главных факторов, разрушающих почвенные покровы, являются эрозионные процессы.</w:t>
      </w:r>
    </w:p>
    <w:p>
      <w:pPr>
        <w:spacing w:after="0"/>
        <w:ind w:left="0"/>
        <w:jc w:val="both"/>
      </w:pPr>
      <w:r>
        <w:rPr>
          <w:rFonts w:ascii="Times New Roman"/>
          <w:b w:val="false"/>
          <w:i w:val="false"/>
          <w:color w:val="000000"/>
          <w:sz w:val="28"/>
        </w:rPr>
        <w:t>
      Эрозия почв – это результат сложного взаимодействия природных и экономических факторов. Среди природных факторов, влияющих на развитие процессов эрозии, важнейшими являются рельеф местности, особенности почвенного покрова, растительность и климатические условия.</w:t>
      </w:r>
    </w:p>
    <w:p>
      <w:pPr>
        <w:spacing w:after="0"/>
        <w:ind w:left="0"/>
        <w:jc w:val="both"/>
      </w:pPr>
      <w:r>
        <w:rPr>
          <w:rFonts w:ascii="Times New Roman"/>
          <w:b w:val="false"/>
          <w:i w:val="false"/>
          <w:color w:val="000000"/>
          <w:sz w:val="28"/>
        </w:rPr>
        <w:t>
      Экономический фактор – это хозяйственная деятельность человека, его воздействие на землю. К ним относится: расположение границ и других линейных элементов территории без учета рельефа, распашка эрозионно-опасных земель, определение состава культур в севооборотах, обработка полей без учета рельефа, бессистемное использование пастбищ, несоблюдение комплекса противоэрозионных мероприятий.</w:t>
      </w:r>
    </w:p>
    <w:p>
      <w:pPr>
        <w:spacing w:after="0"/>
        <w:ind w:left="0"/>
        <w:jc w:val="both"/>
      </w:pPr>
      <w:r>
        <w:rPr>
          <w:rFonts w:ascii="Times New Roman"/>
          <w:b w:val="false"/>
          <w:i w:val="false"/>
          <w:color w:val="000000"/>
          <w:sz w:val="28"/>
        </w:rPr>
        <w:t>
      Основной задачей противоэрозионной организации территории является создание условий для прекращения, ослабления и предотвращения эрозионных процессов. Это достигается посевом многолетних трав на участках с изреженным травостоем. Почвы, занятые многолетними травами, почти не подвергаются водной эрозии. На участках подверженным эрозионным процессам необходимо строгое нормирование выпаса животных (особенно в весенний период); недопущению оголения площадей; проведению работ по травосеянию с улучшением состава кормовых трав.</w:t>
      </w:r>
    </w:p>
    <w:bookmarkStart w:name="z10" w:id="8"/>
    <w:p>
      <w:pPr>
        <w:spacing w:after="0"/>
        <w:ind w:left="0"/>
        <w:jc w:val="left"/>
      </w:pPr>
      <w:r>
        <w:rPr>
          <w:rFonts w:ascii="Times New Roman"/>
          <w:b/>
          <w:i w:val="false"/>
          <w:color w:val="000000"/>
        </w:rPr>
        <w:t xml:space="preserve"> 7. Территория с особым режимом использования земель</w:t>
      </w:r>
    </w:p>
    <w:bookmarkEnd w:id="8"/>
    <w:p>
      <w:pPr>
        <w:spacing w:after="0"/>
        <w:ind w:left="0"/>
        <w:jc w:val="both"/>
      </w:pPr>
      <w:r>
        <w:rPr>
          <w:rFonts w:ascii="Times New Roman"/>
          <w:b w:val="false"/>
          <w:i w:val="false"/>
          <w:color w:val="000000"/>
          <w:sz w:val="28"/>
        </w:rPr>
        <w:t xml:space="preserve">
      В соответствии с Правилами установления водоохранных зон и полос, утвержденных  </w:t>
      </w:r>
      <w:r>
        <w:rPr>
          <w:rFonts w:ascii="Times New Roman"/>
          <w:b w:val="false"/>
          <w:i w:val="false"/>
          <w:color w:val="000000"/>
          <w:sz w:val="28"/>
        </w:rPr>
        <w:t>Приказом</w:t>
      </w:r>
      <w:r>
        <w:rPr>
          <w:rFonts w:ascii="Times New Roman"/>
          <w:b w:val="false"/>
          <w:i w:val="false"/>
          <w:color w:val="000000"/>
          <w:sz w:val="28"/>
        </w:rPr>
        <w:t xml:space="preserve"> Заместителя Премьер-Министра Республики Казахстан- Министра сельского хозяйства Республики Казахстан от 6 сентября 2017 года № 379, настоящим проектом даны рекомендации по водоохранным зонам (ВЗ) и водоохранным полосам (ВП).</w:t>
      </w:r>
    </w:p>
    <w:p>
      <w:pPr>
        <w:spacing w:after="0"/>
        <w:ind w:left="0"/>
        <w:jc w:val="both"/>
      </w:pPr>
      <w:r>
        <w:rPr>
          <w:rFonts w:ascii="Times New Roman"/>
          <w:b w:val="false"/>
          <w:i w:val="false"/>
          <w:color w:val="000000"/>
          <w:sz w:val="28"/>
        </w:rPr>
        <w:t>
      Водоохранные зоны и полосы и режим их хозяйственной деятельности устанавливается местным исполнительным органом области на основании утвержденной проектной документации, по согласованию с уполномоченным органом в области использования и охраны водного фонда, водоснабжения, водоотведения, уполномоченным органом в области санитарно-эпидемиологического благополучия, уполномоченным государственным органом в области охраны окружающей среды, для предотвращения загрязнения, истощения и поддержки водных объектов в состоянии, соответствующем санитарным и экологическим нормам и требованиям, а также сохранение растительного и животного мира.</w:t>
      </w:r>
    </w:p>
    <w:p>
      <w:pPr>
        <w:spacing w:after="0"/>
        <w:ind w:left="0"/>
        <w:jc w:val="both"/>
      </w:pPr>
      <w:r>
        <w:rPr>
          <w:rFonts w:ascii="Times New Roman"/>
          <w:b w:val="false"/>
          <w:i w:val="false"/>
          <w:color w:val="000000"/>
          <w:sz w:val="28"/>
        </w:rPr>
        <w:t xml:space="preserve">
      В соответствии с требованиями </w:t>
      </w:r>
      <w:r>
        <w:rPr>
          <w:rFonts w:ascii="Times New Roman"/>
          <w:b w:val="false"/>
          <w:i w:val="false"/>
          <w:color w:val="000000"/>
          <w:sz w:val="28"/>
        </w:rPr>
        <w:t>статьи 125</w:t>
      </w:r>
      <w:r>
        <w:rPr>
          <w:rFonts w:ascii="Times New Roman"/>
          <w:b w:val="false"/>
          <w:i w:val="false"/>
          <w:color w:val="000000"/>
          <w:sz w:val="28"/>
        </w:rPr>
        <w:t xml:space="preserve"> Водного Кодекса Республики Казахстан в пределах водоохраной полосы запрещается:</w:t>
      </w:r>
    </w:p>
    <w:p>
      <w:pPr>
        <w:spacing w:after="0"/>
        <w:ind w:left="0"/>
        <w:jc w:val="both"/>
      </w:pPr>
      <w:r>
        <w:rPr>
          <w:rFonts w:ascii="Times New Roman"/>
          <w:b w:val="false"/>
          <w:i w:val="false"/>
          <w:color w:val="000000"/>
          <w:sz w:val="28"/>
        </w:rPr>
        <w:t>
      - хозяйственная и иная деятельность, ухудшающая качественное и гидрологическое состояние (загрязнение, засорение, истощение) водных объектов;</w:t>
      </w:r>
    </w:p>
    <w:p>
      <w:pPr>
        <w:spacing w:after="0"/>
        <w:ind w:left="0"/>
        <w:jc w:val="both"/>
      </w:pPr>
      <w:r>
        <w:rPr>
          <w:rFonts w:ascii="Times New Roman"/>
          <w:b w:val="false"/>
          <w:i w:val="false"/>
          <w:color w:val="000000"/>
          <w:sz w:val="28"/>
        </w:rPr>
        <w:t>
      - строительство и эксплуатация зданий и сооружений, за исключением водохозяйственных и водозаборных сооружений и их коммуникаций, мостов, мостовых сооружений, причалов, портов, пирсов и иных объектов транспортной инфраструктуры, связанных с деятельностью водного транспорта, а также рекреационных зон на водном объекте;</w:t>
      </w:r>
    </w:p>
    <w:p>
      <w:pPr>
        <w:spacing w:after="0"/>
        <w:ind w:left="0"/>
        <w:jc w:val="both"/>
      </w:pPr>
      <w:r>
        <w:rPr>
          <w:rFonts w:ascii="Times New Roman"/>
          <w:b w:val="false"/>
          <w:i w:val="false"/>
          <w:color w:val="000000"/>
          <w:sz w:val="28"/>
        </w:rPr>
        <w:t>
      - эксплуатация существующих объектов, не обеспеченных сооружениями и устройствами, предотвращающими загрязнение водных объектов и их водоохранных зон и полос;</w:t>
      </w:r>
    </w:p>
    <w:p>
      <w:pPr>
        <w:spacing w:after="0"/>
        <w:ind w:left="0"/>
        <w:jc w:val="both"/>
      </w:pPr>
      <w:r>
        <w:rPr>
          <w:rFonts w:ascii="Times New Roman"/>
          <w:b w:val="false"/>
          <w:i w:val="false"/>
          <w:color w:val="000000"/>
          <w:sz w:val="28"/>
        </w:rPr>
        <w:t>
      - проведение работ, нарушающих почвенный и травяной покров (в том числе распашка земель, выпас скота, добыча полезных ископаемых), за исключением обработки земель для залужения отдельных участков, посева и посадки леса;</w:t>
      </w:r>
    </w:p>
    <w:p>
      <w:pPr>
        <w:spacing w:after="0"/>
        <w:ind w:left="0"/>
        <w:jc w:val="both"/>
      </w:pPr>
      <w:r>
        <w:rPr>
          <w:rFonts w:ascii="Times New Roman"/>
          <w:b w:val="false"/>
          <w:i w:val="false"/>
          <w:color w:val="000000"/>
          <w:sz w:val="28"/>
        </w:rPr>
        <w:t xml:space="preserve">
      - устройство палаточных городков, постоянных стоянок для транспортных средств, летних лагерей для скота; </w:t>
      </w:r>
    </w:p>
    <w:p>
      <w:pPr>
        <w:spacing w:after="0"/>
        <w:ind w:left="0"/>
        <w:jc w:val="both"/>
      </w:pPr>
      <w:r>
        <w:rPr>
          <w:rFonts w:ascii="Times New Roman"/>
          <w:b w:val="false"/>
          <w:i w:val="false"/>
          <w:color w:val="000000"/>
          <w:sz w:val="28"/>
        </w:rPr>
        <w:t>
      - применение всех видов удобрений.</w:t>
      </w:r>
    </w:p>
    <w:p>
      <w:pPr>
        <w:spacing w:after="0"/>
        <w:ind w:left="0"/>
        <w:jc w:val="both"/>
      </w:pPr>
      <w:r>
        <w:rPr>
          <w:rFonts w:ascii="Times New Roman"/>
          <w:b w:val="false"/>
          <w:i w:val="false"/>
          <w:color w:val="000000"/>
          <w:sz w:val="28"/>
        </w:rPr>
        <w:t>
      в пределах водоохранных зон запрещается:</w:t>
      </w:r>
    </w:p>
    <w:p>
      <w:pPr>
        <w:spacing w:after="0"/>
        <w:ind w:left="0"/>
        <w:jc w:val="both"/>
      </w:pPr>
      <w:r>
        <w:rPr>
          <w:rFonts w:ascii="Times New Roman"/>
          <w:b w:val="false"/>
          <w:i w:val="false"/>
          <w:color w:val="000000"/>
          <w:sz w:val="28"/>
        </w:rPr>
        <w:t>
      - ввод в эксплуатацию новых и реконструированных объектов, не обеспеченных сооружениями и устройствами, предотвращающими загрязнение и засорение водных объектов и их водоохранных зон и полос;</w:t>
      </w:r>
    </w:p>
    <w:p>
      <w:pPr>
        <w:spacing w:after="0"/>
        <w:ind w:left="0"/>
        <w:jc w:val="both"/>
      </w:pPr>
      <w:r>
        <w:rPr>
          <w:rFonts w:ascii="Times New Roman"/>
          <w:b w:val="false"/>
          <w:i w:val="false"/>
          <w:color w:val="000000"/>
          <w:sz w:val="28"/>
        </w:rPr>
        <w:t>
      - проведение реконструкции зданий, сооружений, коммуникаций и других объектов, а также производство строительных, дноуглубительных и взрывных работ, добыча полезных ископаемых, прокладка кабелей, трубопроводов и других коммуникаций, буровых, земельных и иных работ без проектов, согласованных в установленном порядке с местными исполнительными органами, уполномоченным органом, уполномоченным государственным органом в области охраны окружающей среды, центральным уполномоченным органом по управлению земельными ресурсами, уполномоченными органами в области энергоснабжения и санитарно-эпидемиологического благополучия населения и другими заинтересованными органами;</w:t>
      </w:r>
    </w:p>
    <w:p>
      <w:pPr>
        <w:spacing w:after="0"/>
        <w:ind w:left="0"/>
        <w:jc w:val="both"/>
      </w:pPr>
      <w:r>
        <w:rPr>
          <w:rFonts w:ascii="Times New Roman"/>
          <w:b w:val="false"/>
          <w:i w:val="false"/>
          <w:color w:val="000000"/>
          <w:sz w:val="28"/>
        </w:rPr>
        <w:t>
      - размещение и строительство складов для хранения удобрений, пестицидов, ядохимикатов и нефтепродуктов, пунктов технического обслуживания, мойки транспортных средств и сельскохозяйственной техники, механических мастерских, устройство свалок бытовых и промышленных отходов, площадок для заправки аппаратуры пестицидами и ядохимикатами, взлетно-посадочных полос для проведения авиационно-химических работ, а также размещение других объектов, отрицательно влияющих на качество воды;</w:t>
      </w:r>
    </w:p>
    <w:p>
      <w:pPr>
        <w:spacing w:after="0"/>
        <w:ind w:left="0"/>
        <w:jc w:val="both"/>
      </w:pPr>
      <w:r>
        <w:rPr>
          <w:rFonts w:ascii="Times New Roman"/>
          <w:b w:val="false"/>
          <w:i w:val="false"/>
          <w:color w:val="000000"/>
          <w:sz w:val="28"/>
        </w:rPr>
        <w:t>
      - размещение животноводческих ферм и комплексов, накопителей сточных вод, полей орошения сточными водами, кладбищ, скотомогильников, а также других объектов обусловливающих опасность микробного загрязнения поверхностных и подземных вод;</w:t>
      </w:r>
    </w:p>
    <w:p>
      <w:pPr>
        <w:spacing w:after="0"/>
        <w:ind w:left="0"/>
        <w:jc w:val="both"/>
      </w:pPr>
      <w:r>
        <w:rPr>
          <w:rFonts w:ascii="Times New Roman"/>
          <w:b w:val="false"/>
          <w:i w:val="false"/>
          <w:color w:val="000000"/>
          <w:sz w:val="28"/>
        </w:rPr>
        <w:t>
      - выпас скота с превышением нормы нагрузки, купание и санитарная обработка скота и другие виды хозяйственной деятельности, ухудшающие режим водоемов;</w:t>
      </w:r>
    </w:p>
    <w:p>
      <w:pPr>
        <w:spacing w:after="0"/>
        <w:ind w:left="0"/>
        <w:jc w:val="both"/>
      </w:pPr>
      <w:r>
        <w:rPr>
          <w:rFonts w:ascii="Times New Roman"/>
          <w:b w:val="false"/>
          <w:i w:val="false"/>
          <w:color w:val="000000"/>
          <w:sz w:val="28"/>
        </w:rPr>
        <w:t>
      - применение способа авиа обработки ядохимикатами и авиаподкормки минеральными удобрениями сельскохозяйственных культур и лесонасаждений на расстоянии менее двух тысяч метров от уреза воды в водном источнике;</w:t>
      </w:r>
    </w:p>
    <w:p>
      <w:pPr>
        <w:spacing w:after="0"/>
        <w:ind w:left="0"/>
        <w:jc w:val="both"/>
      </w:pPr>
      <w:r>
        <w:rPr>
          <w:rFonts w:ascii="Times New Roman"/>
          <w:b w:val="false"/>
          <w:i w:val="false"/>
          <w:color w:val="000000"/>
          <w:sz w:val="28"/>
        </w:rPr>
        <w:t>
      - применение пестицидов, на которые не установлены предельно допустимые концентрации, внесение удобрений по снежному покрову, а также использование в качестве удобрений не обезвреженных навозосодержаших сточных вод и стойких хлорорганических ядохимикатов. При необходимости проведения вынужденной санитарной обработки в водоохраной зоне допускается применение мало- и среднетоксичных нестойких пестицидов;</w:t>
      </w:r>
    </w:p>
    <w:p>
      <w:pPr>
        <w:spacing w:after="0"/>
        <w:ind w:left="0"/>
        <w:jc w:val="both"/>
      </w:pPr>
      <w:r>
        <w:rPr>
          <w:rFonts w:ascii="Times New Roman"/>
          <w:b w:val="false"/>
          <w:i w:val="false"/>
          <w:color w:val="000000"/>
          <w:sz w:val="28"/>
        </w:rPr>
        <w:t>
      Водопой скота необходимо осуществлять на водопойных площадках водных источников и каптированных родников с соблюдением санитарных норм. Для улучшения санитарных условий насаленных пунктов необходимо строительство специальных площадок для склада навоза и отходов животноводческих ферм, строительство мест для свалок бытовых отходов, создавать специальные места для мойки техники, создавать земляные валы в местах хранения горюче смазочных материалов.</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плану</w:t>
            </w:r>
            <w:r>
              <w:br/>
            </w:r>
            <w:r>
              <w:rPr>
                <w:rFonts w:ascii="Times New Roman"/>
                <w:b w:val="false"/>
                <w:i w:val="false"/>
                <w:color w:val="000000"/>
                <w:sz w:val="20"/>
              </w:rPr>
              <w:t>по управлению пастбищами и их</w:t>
            </w:r>
            <w:r>
              <w:br/>
            </w:r>
            <w:r>
              <w:rPr>
                <w:rFonts w:ascii="Times New Roman"/>
                <w:b w:val="false"/>
                <w:i w:val="false"/>
                <w:color w:val="000000"/>
                <w:sz w:val="20"/>
              </w:rPr>
              <w:t xml:space="preserve">использованию в </w:t>
            </w:r>
            <w:r>
              <w:br/>
            </w:r>
            <w:r>
              <w:rPr>
                <w:rFonts w:ascii="Times New Roman"/>
                <w:b w:val="false"/>
                <w:i w:val="false"/>
                <w:color w:val="000000"/>
                <w:sz w:val="20"/>
              </w:rPr>
              <w:t xml:space="preserve">Кокжыринском сельском округе </w:t>
            </w:r>
            <w:r>
              <w:br/>
            </w:r>
            <w:r>
              <w:rPr>
                <w:rFonts w:ascii="Times New Roman"/>
                <w:b w:val="false"/>
                <w:i w:val="false"/>
                <w:color w:val="000000"/>
                <w:sz w:val="20"/>
              </w:rPr>
              <w:t>на 2022-2023 годы</w:t>
            </w:r>
          </w:p>
        </w:tc>
      </w:tr>
    </w:tbl>
    <w:p>
      <w:pPr>
        <w:spacing w:after="0"/>
        <w:ind w:left="0"/>
        <w:jc w:val="left"/>
      </w:pPr>
      <w:r>
        <w:rPr>
          <w:rFonts w:ascii="Times New Roman"/>
          <w:b/>
          <w:i w:val="false"/>
          <w:color w:val="000000"/>
        </w:rPr>
        <w:t xml:space="preserve"> Схема (карта) расположения пастбищ на территории административно – территориальной единицы в разрезе категорий земель, по Тарбагатайскому району Кокжыраскому сельскому округу собственников земельных участков и землепользователей на основании правоустанавливающих документов</w:t>
      </w:r>
    </w:p>
    <w:p>
      <w:pPr>
        <w:spacing w:after="0"/>
        <w:ind w:left="0"/>
        <w:jc w:val="left"/>
      </w:pPr>
      <w:r>
        <w:br/>
      </w:r>
    </w:p>
    <w:p>
      <w:pPr>
        <w:spacing w:after="0"/>
        <w:ind w:left="0"/>
        <w:jc w:val="both"/>
      </w:pPr>
      <w:r>
        <w:drawing>
          <wp:inline distT="0" distB="0" distL="0" distR="0">
            <wp:extent cx="7810500" cy="1107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11074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плану</w:t>
            </w:r>
            <w:r>
              <w:br/>
            </w:r>
            <w:r>
              <w:rPr>
                <w:rFonts w:ascii="Times New Roman"/>
                <w:b w:val="false"/>
                <w:i w:val="false"/>
                <w:color w:val="000000"/>
                <w:sz w:val="20"/>
              </w:rPr>
              <w:t>по управлению пастбищами и их</w:t>
            </w:r>
            <w:r>
              <w:br/>
            </w:r>
            <w:r>
              <w:rPr>
                <w:rFonts w:ascii="Times New Roman"/>
                <w:b w:val="false"/>
                <w:i w:val="false"/>
                <w:color w:val="000000"/>
                <w:sz w:val="20"/>
              </w:rPr>
              <w:t xml:space="preserve">использованию в </w:t>
            </w:r>
            <w:r>
              <w:br/>
            </w:r>
            <w:r>
              <w:rPr>
                <w:rFonts w:ascii="Times New Roman"/>
                <w:b w:val="false"/>
                <w:i w:val="false"/>
                <w:color w:val="000000"/>
                <w:sz w:val="20"/>
              </w:rPr>
              <w:t>Кокжыринском сельском</w:t>
            </w:r>
            <w:r>
              <w:br/>
            </w:r>
            <w:r>
              <w:rPr>
                <w:rFonts w:ascii="Times New Roman"/>
                <w:b w:val="false"/>
                <w:i w:val="false"/>
                <w:color w:val="000000"/>
                <w:sz w:val="20"/>
              </w:rPr>
              <w:t>округе на 2022-2023 годы</w:t>
            </w:r>
          </w:p>
        </w:tc>
      </w:tr>
    </w:tbl>
    <w:p>
      <w:pPr>
        <w:spacing w:after="0"/>
        <w:ind w:left="0"/>
        <w:jc w:val="left"/>
      </w:pPr>
      <w:r>
        <w:rPr>
          <w:rFonts w:ascii="Times New Roman"/>
          <w:b/>
          <w:i w:val="false"/>
          <w:color w:val="000000"/>
        </w:rPr>
        <w:t xml:space="preserve"> Приемлемые схемы пастбищеоборотов</w:t>
      </w:r>
    </w:p>
    <w:p>
      <w:pPr>
        <w:spacing w:after="0"/>
        <w:ind w:left="0"/>
        <w:jc w:val="left"/>
      </w:pPr>
      <w:r>
        <w:br/>
      </w:r>
    </w:p>
    <w:p>
      <w:pPr>
        <w:spacing w:after="0"/>
        <w:ind w:left="0"/>
        <w:jc w:val="both"/>
      </w:pPr>
      <w:r>
        <w:drawing>
          <wp:inline distT="0" distB="0" distL="0" distR="0">
            <wp:extent cx="7810500" cy="1107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11074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3 к плану по </w:t>
            </w:r>
            <w:r>
              <w:br/>
            </w:r>
            <w:r>
              <w:rPr>
                <w:rFonts w:ascii="Times New Roman"/>
                <w:b w:val="false"/>
                <w:i w:val="false"/>
                <w:color w:val="000000"/>
                <w:sz w:val="20"/>
              </w:rPr>
              <w:t>управлению</w:t>
            </w:r>
            <w:r>
              <w:br/>
            </w:r>
            <w:r>
              <w:rPr>
                <w:rFonts w:ascii="Times New Roman"/>
                <w:b w:val="false"/>
                <w:i w:val="false"/>
                <w:color w:val="000000"/>
                <w:sz w:val="20"/>
              </w:rPr>
              <w:t xml:space="preserve">пастбищами и их </w:t>
            </w:r>
            <w:r>
              <w:br/>
            </w:r>
            <w:r>
              <w:rPr>
                <w:rFonts w:ascii="Times New Roman"/>
                <w:b w:val="false"/>
                <w:i w:val="false"/>
                <w:color w:val="000000"/>
                <w:sz w:val="20"/>
              </w:rPr>
              <w:t>использованию</w:t>
            </w:r>
            <w:r>
              <w:br/>
            </w:r>
            <w:r>
              <w:rPr>
                <w:rFonts w:ascii="Times New Roman"/>
                <w:b w:val="false"/>
                <w:i w:val="false"/>
                <w:color w:val="000000"/>
                <w:sz w:val="20"/>
              </w:rPr>
              <w:t xml:space="preserve">в Кокжыринском сельском </w:t>
            </w:r>
            <w:r>
              <w:br/>
            </w:r>
            <w:r>
              <w:rPr>
                <w:rFonts w:ascii="Times New Roman"/>
                <w:b w:val="false"/>
                <w:i w:val="false"/>
                <w:color w:val="000000"/>
                <w:sz w:val="20"/>
              </w:rPr>
              <w:t>округе</w:t>
            </w:r>
            <w:r>
              <w:br/>
            </w:r>
            <w:r>
              <w:rPr>
                <w:rFonts w:ascii="Times New Roman"/>
                <w:b w:val="false"/>
                <w:i w:val="false"/>
                <w:color w:val="000000"/>
                <w:sz w:val="20"/>
              </w:rPr>
              <w:t>на 2022-2023 годы</w:t>
            </w:r>
          </w:p>
        </w:tc>
      </w:tr>
    </w:tbl>
    <w:p>
      <w:pPr>
        <w:spacing w:after="0"/>
        <w:ind w:left="0"/>
        <w:jc w:val="left"/>
      </w:pPr>
      <w:r>
        <w:rPr>
          <w:rFonts w:ascii="Times New Roman"/>
          <w:b/>
          <w:i w:val="false"/>
          <w:color w:val="000000"/>
        </w:rPr>
        <w:t xml:space="preserve"> Картас обозначением внешних и внутренних границ и площадей пастбищ, в том числе сезонных, объектов пастбищной инфраструктуры</w:t>
      </w:r>
    </w:p>
    <w:p>
      <w:pPr>
        <w:spacing w:after="0"/>
        <w:ind w:left="0"/>
        <w:jc w:val="left"/>
      </w:pPr>
      <w:r>
        <w:br/>
      </w:r>
    </w:p>
    <w:p>
      <w:pPr>
        <w:spacing w:after="0"/>
        <w:ind w:left="0"/>
        <w:jc w:val="both"/>
      </w:pPr>
      <w:r>
        <w:drawing>
          <wp:inline distT="0" distB="0" distL="0" distR="0">
            <wp:extent cx="7810500" cy="1107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11074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4 к плану по </w:t>
            </w:r>
            <w:r>
              <w:br/>
            </w:r>
            <w:r>
              <w:rPr>
                <w:rFonts w:ascii="Times New Roman"/>
                <w:b w:val="false"/>
                <w:i w:val="false"/>
                <w:color w:val="000000"/>
                <w:sz w:val="20"/>
              </w:rPr>
              <w:t>управлению</w:t>
            </w:r>
            <w:r>
              <w:br/>
            </w:r>
            <w:r>
              <w:rPr>
                <w:rFonts w:ascii="Times New Roman"/>
                <w:b w:val="false"/>
                <w:i w:val="false"/>
                <w:color w:val="000000"/>
                <w:sz w:val="20"/>
              </w:rPr>
              <w:t xml:space="preserve">пастбищами и их </w:t>
            </w:r>
            <w:r>
              <w:br/>
            </w:r>
            <w:r>
              <w:rPr>
                <w:rFonts w:ascii="Times New Roman"/>
                <w:b w:val="false"/>
                <w:i w:val="false"/>
                <w:color w:val="000000"/>
                <w:sz w:val="20"/>
              </w:rPr>
              <w:t>использованию</w:t>
            </w:r>
            <w:r>
              <w:br/>
            </w:r>
            <w:r>
              <w:rPr>
                <w:rFonts w:ascii="Times New Roman"/>
                <w:b w:val="false"/>
                <w:i w:val="false"/>
                <w:color w:val="000000"/>
                <w:sz w:val="20"/>
              </w:rPr>
              <w:t xml:space="preserve">в Кокжыринском сельском </w:t>
            </w:r>
            <w:r>
              <w:br/>
            </w:r>
            <w:r>
              <w:rPr>
                <w:rFonts w:ascii="Times New Roman"/>
                <w:b w:val="false"/>
                <w:i w:val="false"/>
                <w:color w:val="000000"/>
                <w:sz w:val="20"/>
              </w:rPr>
              <w:t>округе</w:t>
            </w:r>
            <w:r>
              <w:br/>
            </w:r>
            <w:r>
              <w:rPr>
                <w:rFonts w:ascii="Times New Roman"/>
                <w:b w:val="false"/>
                <w:i w:val="false"/>
                <w:color w:val="000000"/>
                <w:sz w:val="20"/>
              </w:rPr>
              <w:t>на 2022-2023 годы</w:t>
            </w:r>
          </w:p>
        </w:tc>
      </w:tr>
    </w:tbl>
    <w:p>
      <w:pPr>
        <w:spacing w:after="0"/>
        <w:ind w:left="0"/>
        <w:jc w:val="left"/>
      </w:pPr>
      <w:r>
        <w:rPr>
          <w:rFonts w:ascii="Times New Roman"/>
          <w:b/>
          <w:i w:val="false"/>
          <w:color w:val="000000"/>
        </w:rPr>
        <w:t xml:space="preserve"> Схема доступа пастбищепользователей к водоисточникам (озерам, рекам, прудам, копаням, оросительнымили обводнительным каналам, трубчатым или шахтным колодцам), составленную согласно норме потребления воды</w:t>
      </w:r>
    </w:p>
    <w:p>
      <w:pPr>
        <w:spacing w:after="0"/>
        <w:ind w:left="0"/>
        <w:jc w:val="left"/>
      </w:pPr>
      <w:r>
        <w:br/>
      </w:r>
    </w:p>
    <w:p>
      <w:pPr>
        <w:spacing w:after="0"/>
        <w:ind w:left="0"/>
        <w:jc w:val="both"/>
      </w:pPr>
      <w:r>
        <w:drawing>
          <wp:inline distT="0" distB="0" distL="0" distR="0">
            <wp:extent cx="7810500" cy="1107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11074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5 к плану по </w:t>
            </w:r>
            <w:r>
              <w:br/>
            </w:r>
            <w:r>
              <w:rPr>
                <w:rFonts w:ascii="Times New Roman"/>
                <w:b w:val="false"/>
                <w:i w:val="false"/>
                <w:color w:val="000000"/>
                <w:sz w:val="20"/>
              </w:rPr>
              <w:t>управлению</w:t>
            </w:r>
            <w:r>
              <w:br/>
            </w:r>
            <w:r>
              <w:rPr>
                <w:rFonts w:ascii="Times New Roman"/>
                <w:b w:val="false"/>
                <w:i w:val="false"/>
                <w:color w:val="000000"/>
                <w:sz w:val="20"/>
              </w:rPr>
              <w:t xml:space="preserve">пастбищами и их </w:t>
            </w:r>
            <w:r>
              <w:br/>
            </w:r>
            <w:r>
              <w:rPr>
                <w:rFonts w:ascii="Times New Roman"/>
                <w:b w:val="false"/>
                <w:i w:val="false"/>
                <w:color w:val="000000"/>
                <w:sz w:val="20"/>
              </w:rPr>
              <w:t>использованию</w:t>
            </w:r>
            <w:r>
              <w:br/>
            </w:r>
            <w:r>
              <w:rPr>
                <w:rFonts w:ascii="Times New Roman"/>
                <w:b w:val="false"/>
                <w:i w:val="false"/>
                <w:color w:val="000000"/>
                <w:sz w:val="20"/>
              </w:rPr>
              <w:t xml:space="preserve">в Кокжыринском сельском </w:t>
            </w:r>
            <w:r>
              <w:br/>
            </w:r>
            <w:r>
              <w:rPr>
                <w:rFonts w:ascii="Times New Roman"/>
                <w:b w:val="false"/>
                <w:i w:val="false"/>
                <w:color w:val="000000"/>
                <w:sz w:val="20"/>
              </w:rPr>
              <w:t>округе</w:t>
            </w:r>
            <w:r>
              <w:br/>
            </w:r>
            <w:r>
              <w:rPr>
                <w:rFonts w:ascii="Times New Roman"/>
                <w:b w:val="false"/>
                <w:i w:val="false"/>
                <w:color w:val="000000"/>
                <w:sz w:val="20"/>
              </w:rPr>
              <w:t>на 2022-2023 годы</w:t>
            </w:r>
          </w:p>
        </w:tc>
      </w:tr>
    </w:tbl>
    <w:p>
      <w:pPr>
        <w:spacing w:after="0"/>
        <w:ind w:left="0"/>
        <w:jc w:val="left"/>
      </w:pPr>
      <w:r>
        <w:rPr>
          <w:rFonts w:ascii="Times New Roman"/>
          <w:b/>
          <w:i w:val="false"/>
          <w:color w:val="000000"/>
        </w:rPr>
        <w:t xml:space="preserve"> Схема перераспределения пастбищ для размещения поголовья сельскохозяйственных животных физических и (или) юридических лиц, у которых отсутствуют пастбища, и перемещения его на предоставляемые пастбища</w:t>
      </w:r>
    </w:p>
    <w:p>
      <w:pPr>
        <w:spacing w:after="0"/>
        <w:ind w:left="0"/>
        <w:jc w:val="left"/>
      </w:pPr>
      <w:r>
        <w:br/>
      </w:r>
    </w:p>
    <w:p>
      <w:pPr>
        <w:spacing w:after="0"/>
        <w:ind w:left="0"/>
        <w:jc w:val="both"/>
      </w:pPr>
      <w:r>
        <w:drawing>
          <wp:inline distT="0" distB="0" distL="0" distR="0">
            <wp:extent cx="7810500" cy="1107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11074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6 к плану по </w:t>
            </w:r>
            <w:r>
              <w:br/>
            </w:r>
            <w:r>
              <w:rPr>
                <w:rFonts w:ascii="Times New Roman"/>
                <w:b w:val="false"/>
                <w:i w:val="false"/>
                <w:color w:val="000000"/>
                <w:sz w:val="20"/>
              </w:rPr>
              <w:t>управлению</w:t>
            </w:r>
            <w:r>
              <w:br/>
            </w:r>
            <w:r>
              <w:rPr>
                <w:rFonts w:ascii="Times New Roman"/>
                <w:b w:val="false"/>
                <w:i w:val="false"/>
                <w:color w:val="000000"/>
                <w:sz w:val="20"/>
              </w:rPr>
              <w:t xml:space="preserve">пастбищами и их </w:t>
            </w:r>
            <w:r>
              <w:br/>
            </w:r>
            <w:r>
              <w:rPr>
                <w:rFonts w:ascii="Times New Roman"/>
                <w:b w:val="false"/>
                <w:i w:val="false"/>
                <w:color w:val="000000"/>
                <w:sz w:val="20"/>
              </w:rPr>
              <w:t>использованию</w:t>
            </w:r>
            <w:r>
              <w:br/>
            </w:r>
            <w:r>
              <w:rPr>
                <w:rFonts w:ascii="Times New Roman"/>
                <w:b w:val="false"/>
                <w:i w:val="false"/>
                <w:color w:val="000000"/>
                <w:sz w:val="20"/>
              </w:rPr>
              <w:t xml:space="preserve">в Кокжыринском сельском </w:t>
            </w:r>
            <w:r>
              <w:br/>
            </w:r>
            <w:r>
              <w:rPr>
                <w:rFonts w:ascii="Times New Roman"/>
                <w:b w:val="false"/>
                <w:i w:val="false"/>
                <w:color w:val="000000"/>
                <w:sz w:val="20"/>
              </w:rPr>
              <w:t>округе</w:t>
            </w:r>
            <w:r>
              <w:br/>
            </w:r>
            <w:r>
              <w:rPr>
                <w:rFonts w:ascii="Times New Roman"/>
                <w:b w:val="false"/>
                <w:i w:val="false"/>
                <w:color w:val="000000"/>
                <w:sz w:val="20"/>
              </w:rPr>
              <w:t>на 2022-2023 годы</w:t>
            </w:r>
          </w:p>
        </w:tc>
      </w:tr>
    </w:tbl>
    <w:p>
      <w:pPr>
        <w:spacing w:after="0"/>
        <w:ind w:left="0"/>
        <w:jc w:val="left"/>
      </w:pPr>
      <w:r>
        <w:rPr>
          <w:rFonts w:ascii="Times New Roman"/>
          <w:b/>
          <w:i w:val="false"/>
          <w:color w:val="000000"/>
        </w:rPr>
        <w:t xml:space="preserve"> Схема размещения поголовья сельскохозяйственных животных на отгонных пастбищах физических и (или) юридических лиц, не обеспеченных пастбищами, расположенными в сельском округе</w:t>
      </w:r>
    </w:p>
    <w:p>
      <w:pPr>
        <w:spacing w:after="0"/>
        <w:ind w:left="0"/>
        <w:jc w:val="left"/>
      </w:pPr>
      <w:r>
        <w:br/>
      </w:r>
    </w:p>
    <w:p>
      <w:pPr>
        <w:spacing w:after="0"/>
        <w:ind w:left="0"/>
        <w:jc w:val="both"/>
      </w:pPr>
      <w:r>
        <w:drawing>
          <wp:inline distT="0" distB="0" distL="0" distR="0">
            <wp:extent cx="7810500" cy="1107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810500" cy="11074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7 к плану по </w:t>
            </w:r>
            <w:r>
              <w:br/>
            </w:r>
            <w:r>
              <w:rPr>
                <w:rFonts w:ascii="Times New Roman"/>
                <w:b w:val="false"/>
                <w:i w:val="false"/>
                <w:color w:val="000000"/>
                <w:sz w:val="20"/>
              </w:rPr>
              <w:t>управлению</w:t>
            </w:r>
            <w:r>
              <w:br/>
            </w:r>
            <w:r>
              <w:rPr>
                <w:rFonts w:ascii="Times New Roman"/>
                <w:b w:val="false"/>
                <w:i w:val="false"/>
                <w:color w:val="000000"/>
                <w:sz w:val="20"/>
              </w:rPr>
              <w:t xml:space="preserve">пастбищами и их </w:t>
            </w:r>
            <w:r>
              <w:br/>
            </w:r>
            <w:r>
              <w:rPr>
                <w:rFonts w:ascii="Times New Roman"/>
                <w:b w:val="false"/>
                <w:i w:val="false"/>
                <w:color w:val="000000"/>
                <w:sz w:val="20"/>
              </w:rPr>
              <w:t>использованию</w:t>
            </w:r>
            <w:r>
              <w:br/>
            </w:r>
            <w:r>
              <w:rPr>
                <w:rFonts w:ascii="Times New Roman"/>
                <w:b w:val="false"/>
                <w:i w:val="false"/>
                <w:color w:val="000000"/>
                <w:sz w:val="20"/>
              </w:rPr>
              <w:t xml:space="preserve">в Кокжыринском сельском </w:t>
            </w:r>
            <w:r>
              <w:br/>
            </w:r>
            <w:r>
              <w:rPr>
                <w:rFonts w:ascii="Times New Roman"/>
                <w:b w:val="false"/>
                <w:i w:val="false"/>
                <w:color w:val="000000"/>
                <w:sz w:val="20"/>
              </w:rPr>
              <w:t>округе</w:t>
            </w:r>
            <w:r>
              <w:br/>
            </w:r>
            <w:r>
              <w:rPr>
                <w:rFonts w:ascii="Times New Roman"/>
                <w:b w:val="false"/>
                <w:i w:val="false"/>
                <w:color w:val="000000"/>
                <w:sz w:val="20"/>
              </w:rPr>
              <w:t>на 2022-2023 годы</w:t>
            </w:r>
          </w:p>
        </w:tc>
      </w:tr>
    </w:tbl>
    <w:p>
      <w:pPr>
        <w:spacing w:after="0"/>
        <w:ind w:left="0"/>
        <w:jc w:val="left"/>
      </w:pPr>
      <w:r>
        <w:rPr>
          <w:rFonts w:ascii="Times New Roman"/>
          <w:b/>
          <w:i w:val="false"/>
          <w:color w:val="000000"/>
        </w:rPr>
        <w:t xml:space="preserve"> Календарный график по использованию пастбищ, определяющие сезонные маршруты выпаса и отгона сельскохозяйственных животных</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сельского округа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отгона животных на дальние пастбища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обратного отгона из дальних пастбищ</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Кокжыра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половина апреля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декада октября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Сериктес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половина апреля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декада октября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Мурсалим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половина апреля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декада октября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Базарка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половина апреля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декада октября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Кызбай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половина апреля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декада октября</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7-1 к плану по </w:t>
            </w:r>
            <w:r>
              <w:br/>
            </w:r>
            <w:r>
              <w:rPr>
                <w:rFonts w:ascii="Times New Roman"/>
                <w:b w:val="false"/>
                <w:i w:val="false"/>
                <w:color w:val="000000"/>
                <w:sz w:val="20"/>
              </w:rPr>
              <w:t>управлению</w:t>
            </w:r>
            <w:r>
              <w:br/>
            </w:r>
            <w:r>
              <w:rPr>
                <w:rFonts w:ascii="Times New Roman"/>
                <w:b w:val="false"/>
                <w:i w:val="false"/>
                <w:color w:val="000000"/>
                <w:sz w:val="20"/>
              </w:rPr>
              <w:t xml:space="preserve">пастбищами и их </w:t>
            </w:r>
            <w:r>
              <w:br/>
            </w:r>
            <w:r>
              <w:rPr>
                <w:rFonts w:ascii="Times New Roman"/>
                <w:b w:val="false"/>
                <w:i w:val="false"/>
                <w:color w:val="000000"/>
                <w:sz w:val="20"/>
              </w:rPr>
              <w:t>использованию</w:t>
            </w:r>
            <w:r>
              <w:br/>
            </w:r>
            <w:r>
              <w:rPr>
                <w:rFonts w:ascii="Times New Roman"/>
                <w:b w:val="false"/>
                <w:i w:val="false"/>
                <w:color w:val="000000"/>
                <w:sz w:val="20"/>
              </w:rPr>
              <w:t xml:space="preserve">в Кокжыринском сельском </w:t>
            </w:r>
            <w:r>
              <w:br/>
            </w:r>
            <w:r>
              <w:rPr>
                <w:rFonts w:ascii="Times New Roman"/>
                <w:b w:val="false"/>
                <w:i w:val="false"/>
                <w:color w:val="000000"/>
                <w:sz w:val="20"/>
              </w:rPr>
              <w:t>округе</w:t>
            </w:r>
            <w:r>
              <w:br/>
            </w:r>
            <w:r>
              <w:rPr>
                <w:rFonts w:ascii="Times New Roman"/>
                <w:b w:val="false"/>
                <w:i w:val="false"/>
                <w:color w:val="000000"/>
                <w:sz w:val="20"/>
              </w:rPr>
              <w:t>на 2022-2023 годы</w:t>
            </w:r>
          </w:p>
        </w:tc>
      </w:tr>
    </w:tbl>
    <w:p>
      <w:pPr>
        <w:spacing w:after="0"/>
        <w:ind w:left="0"/>
        <w:jc w:val="left"/>
      </w:pPr>
      <w:r>
        <w:rPr>
          <w:rFonts w:ascii="Times New Roman"/>
          <w:b/>
          <w:i w:val="false"/>
          <w:color w:val="000000"/>
        </w:rPr>
        <w:t xml:space="preserve"> Карту с обозначением внешних и внутренних границ и площадей пастбищ, необходимых для удовлетворения нужд населения для выпаса сельскохозяйственных животных личного подворья, в зависимости от местных условий и особенностей</w:t>
      </w:r>
    </w:p>
    <w:p>
      <w:pPr>
        <w:spacing w:after="0"/>
        <w:ind w:left="0"/>
        <w:jc w:val="left"/>
      </w:pPr>
      <w:r>
        <w:br/>
      </w:r>
    </w:p>
    <w:p>
      <w:pPr>
        <w:spacing w:after="0"/>
        <w:ind w:left="0"/>
        <w:jc w:val="both"/>
      </w:pPr>
      <w:r>
        <w:drawing>
          <wp:inline distT="0" distB="0" distL="0" distR="0">
            <wp:extent cx="7810500" cy="1107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7810500" cy="11074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