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b30d91" w14:textId="5b30d9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Кокжыринскому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13/31-VII</w:t>
      </w:r>
    </w:p>
    <w:p>
      <w:pPr>
        <w:spacing w:after="0"/>
        <w:ind w:left="0"/>
        <w:jc w:val="both"/>
      </w:pPr>
      <w:bookmarkStart w:name="z19"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0"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 xml:space="preserve">План </w:t>
      </w:r>
      <w:r>
        <w:rPr>
          <w:rFonts w:ascii="Times New Roman"/>
          <w:b w:val="false"/>
          <w:i w:val="false"/>
          <w:color w:val="000000"/>
          <w:sz w:val="28"/>
        </w:rPr>
        <w:t xml:space="preserve">по управлению пастбищами и их использованию по Кокжыринскому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13/31-VII 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Кокжиринскому сельскому округу на 2022-2023 годы.</w:t>
      </w:r>
    </w:p>
    <w:bookmarkEnd w:id="2"/>
    <w:bookmarkStart w:name="z21" w:id="3"/>
    <w:p>
      <w:pPr>
        <w:spacing w:after="0"/>
        <w:ind w:left="0"/>
        <w:jc w:val="both"/>
      </w:pPr>
      <w:r>
        <w:rPr>
          <w:rFonts w:ascii="Times New Roman"/>
          <w:b w:val="false"/>
          <w:i w:val="false"/>
          <w:color w:val="000000"/>
          <w:sz w:val="28"/>
        </w:rPr>
        <w:t>
      Настоящий План по управлению пастбищами и их использованию по Кокжиринскому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правоустанавливающих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2) Приемлемые схемы пастбище 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 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Кокжиринского сельского округа 201100 га, из них пастбищные земли 197600 га, орошаемые земли – 4000 га, сенокосные земли 2800 га.</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–197600 га;</w:t>
      </w:r>
    </w:p>
    <w:p>
      <w:pPr>
        <w:spacing w:after="0"/>
        <w:ind w:left="0"/>
        <w:jc w:val="both"/>
      </w:pPr>
      <w:r>
        <w:rPr>
          <w:rFonts w:ascii="Times New Roman"/>
          <w:b w:val="false"/>
          <w:i w:val="false"/>
          <w:color w:val="000000"/>
          <w:sz w:val="28"/>
        </w:rPr>
        <w:t>
      Земли населенных пунктов – 18 500га;</w:t>
      </w:r>
    </w:p>
    <w:p>
      <w:pPr>
        <w:spacing w:after="0"/>
        <w:ind w:left="0"/>
        <w:jc w:val="both"/>
      </w:pPr>
      <w:r>
        <w:rPr>
          <w:rFonts w:ascii="Times New Roman"/>
          <w:b w:val="false"/>
          <w:i w:val="false"/>
          <w:color w:val="000000"/>
          <w:sz w:val="28"/>
        </w:rPr>
        <w:t>
      В районе действуют 1ветеринарный пункт, 1 убойная площадока, 1 скотомогильник.</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Кокжиринского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p>
      <w:pPr>
        <w:spacing w:after="0"/>
        <w:ind w:left="0"/>
        <w:jc w:val="left"/>
      </w:pPr>
      <w:r>
        <w:rPr>
          <w:rFonts w:ascii="Times New Roman"/>
          <w:b/>
          <w:i w:val="false"/>
          <w:color w:val="000000"/>
        </w:rPr>
        <w:t xml:space="preserve"> 1. ОБЩИЕ СВЕДЕНИЯ</w:t>
      </w:r>
    </w:p>
    <w:p>
      <w:pPr>
        <w:spacing w:after="0"/>
        <w:ind w:left="0"/>
        <w:jc w:val="both"/>
      </w:pPr>
      <w:r>
        <w:rPr>
          <w:rFonts w:ascii="Times New Roman"/>
          <w:b w:val="false"/>
          <w:i w:val="false"/>
          <w:color w:val="000000"/>
          <w:sz w:val="28"/>
        </w:rPr>
        <w:t>
      Кокжиринский сельский округ расположен в центральной части Тарбагатайского района, его площадь 199,1 тысяч га, что составляет 8,4 % от площади района.</w:t>
      </w:r>
    </w:p>
    <w:p>
      <w:pPr>
        <w:spacing w:after="0"/>
        <w:ind w:left="0"/>
        <w:jc w:val="both"/>
      </w:pPr>
      <w:r>
        <w:rPr>
          <w:rFonts w:ascii="Times New Roman"/>
          <w:b w:val="false"/>
          <w:i w:val="false"/>
          <w:color w:val="000000"/>
          <w:sz w:val="28"/>
        </w:rPr>
        <w:t>
      На севере сельский округ граничит с землями Иргизбайского сельского округа, на юге граничит с землями Урджарского района, на западе граничит с землями Кызыл-Кесекского и Киндиктиского сельских округов, на востоке с землями Екпинского и Сатпаевского сельских округов.</w:t>
      </w:r>
    </w:p>
    <w:p>
      <w:pPr>
        <w:spacing w:after="0"/>
        <w:ind w:left="0"/>
        <w:jc w:val="both"/>
      </w:pPr>
      <w:r>
        <w:rPr>
          <w:rFonts w:ascii="Times New Roman"/>
          <w:b w:val="false"/>
          <w:i w:val="false"/>
          <w:color w:val="000000"/>
          <w:sz w:val="28"/>
        </w:rPr>
        <w:t>
      Центром сельского округа является село Кокжира расположенное в 18 км от районного центра с. 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5 сельских населенных пункта: - с. Кокжыра, с. Базарка, с. Сериктес, с. Мурсалим, с. Кызбай.</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Кокжыра – пикет Бугаз.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3351 головы крупного рогатого скота, 411 голов лошадей и 1275 голов овец и коз.</w:t>
      </w:r>
    </w:p>
    <w:p>
      <w:pPr>
        <w:spacing w:after="0"/>
        <w:ind w:left="0"/>
        <w:jc w:val="left"/>
      </w:pPr>
      <w:r>
        <w:rPr>
          <w:rFonts w:ascii="Times New Roman"/>
          <w:b/>
          <w:i w:val="false"/>
          <w:color w:val="000000"/>
        </w:rPr>
        <w:t xml:space="preserve"> 2. РАСТИТЕЛЬНОСТЬ</w:t>
      </w:r>
    </w:p>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2" w:id="4"/>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
    <w:bookmarkStart w:name="z23" w:id="5"/>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5"/>
    <w:bookmarkStart w:name="z3" w:id="6"/>
    <w:p>
      <w:pPr>
        <w:spacing w:after="0"/>
        <w:ind w:left="0"/>
        <w:jc w:val="left"/>
      </w:pPr>
      <w:r>
        <w:rPr>
          <w:rFonts w:ascii="Times New Roman"/>
          <w:b/>
          <w:i w:val="false"/>
          <w:color w:val="000000"/>
        </w:rPr>
        <w:t xml:space="preserve"> 3. ОРГАНИЗАЦИЯ ТЕРРИТОРИИ ПАСТБИЩ</w:t>
      </w:r>
    </w:p>
    <w:bookmarkEnd w:id="6"/>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both"/>
      </w:pPr>
      <w:r>
        <w:rPr>
          <w:rFonts w:ascii="Times New Roman"/>
          <w:b w:val="false"/>
          <w:i w:val="false"/>
          <w:color w:val="000000"/>
          <w:sz w:val="28"/>
        </w:rPr>
        <w:t>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both"/>
      </w:pPr>
      <w:r>
        <w:rPr>
          <w:rFonts w:ascii="Times New Roman"/>
          <w:b w:val="false"/>
          <w:i w:val="false"/>
          <w:color w:val="000000"/>
          <w:sz w:val="28"/>
        </w:rPr>
        <w:t>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p>
      <w:pPr>
        <w:spacing w:after="0"/>
        <w:ind w:left="0"/>
        <w:jc w:val="both"/>
      </w:pPr>
      <w:r>
        <w:rPr>
          <w:rFonts w:ascii="Times New Roman"/>
          <w:b w:val="false"/>
          <w:i w:val="false"/>
          <w:color w:val="000000"/>
          <w:sz w:val="28"/>
        </w:rPr>
        <w:t xml:space="preserve">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 </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411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1275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Кокжиринский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3351</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411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134040</w:t>
            </w:r>
          </w:p>
          <w:p>
            <w:pPr>
              <w:spacing w:after="20"/>
              <w:ind w:left="20"/>
              <w:jc w:val="both"/>
            </w:pPr>
            <w:r>
              <w:rPr>
                <w:rFonts w:ascii="Times New Roman"/>
                <w:b w:val="false"/>
                <w:i w:val="false"/>
                <w:color w:val="000000"/>
                <w:sz w:val="20"/>
              </w:rPr>
              <w:t>
12750</w:t>
            </w:r>
          </w:p>
          <w:p>
            <w:pPr>
              <w:spacing w:after="20"/>
              <w:ind w:left="20"/>
              <w:jc w:val="both"/>
            </w:pPr>
            <w:r>
              <w:rPr>
                <w:rFonts w:ascii="Times New Roman"/>
                <w:b w:val="false"/>
                <w:i w:val="false"/>
                <w:color w:val="000000"/>
                <w:sz w:val="20"/>
              </w:rPr>
              <w:t>
18495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both"/>
      </w:pPr>
      <w:r>
        <w:rPr>
          <w:rFonts w:ascii="Times New Roman"/>
          <w:b w:val="false"/>
          <w:i w:val="false"/>
          <w:color w:val="000000"/>
          <w:sz w:val="28"/>
        </w:rPr>
        <w:t>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Кокжирин-ский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3351</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411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13404</w:t>
            </w:r>
          </w:p>
          <w:p>
            <w:pPr>
              <w:spacing w:after="20"/>
              <w:ind w:left="20"/>
              <w:jc w:val="both"/>
            </w:pPr>
            <w:r>
              <w:rPr>
                <w:rFonts w:ascii="Times New Roman"/>
                <w:b w:val="false"/>
                <w:i w:val="false"/>
                <w:color w:val="000000"/>
                <w:sz w:val="20"/>
              </w:rPr>
              <w:t>
1275</w:t>
            </w:r>
          </w:p>
          <w:p>
            <w:pPr>
              <w:spacing w:after="20"/>
              <w:ind w:left="20"/>
              <w:jc w:val="both"/>
            </w:pPr>
            <w:r>
              <w:rPr>
                <w:rFonts w:ascii="Times New Roman"/>
                <w:b w:val="false"/>
                <w:i w:val="false"/>
                <w:color w:val="000000"/>
                <w:sz w:val="20"/>
              </w:rPr>
              <w:t>
1849,5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- 421,2</w:t>
            </w:r>
          </w:p>
        </w:tc>
      </w:tr>
    </w:tbl>
    <w:bookmarkStart w:name="z9" w:id="7"/>
    <w:p>
      <w:pPr>
        <w:spacing w:after="0"/>
        <w:ind w:left="0"/>
        <w:jc w:val="left"/>
      </w:pPr>
      <w:r>
        <w:rPr>
          <w:rFonts w:ascii="Times New Roman"/>
          <w:b/>
          <w:i w:val="false"/>
          <w:color w:val="000000"/>
        </w:rPr>
        <w:t xml:space="preserve"> 6. ПРИРОДООХРАННЫЕ МЕРОПРИЯТИЯ</w:t>
      </w:r>
    </w:p>
    <w:bookmarkEnd w:id="7"/>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0" w:id="8"/>
    <w:p>
      <w:pPr>
        <w:spacing w:after="0"/>
        <w:ind w:left="0"/>
        <w:jc w:val="left"/>
      </w:pPr>
      <w:r>
        <w:rPr>
          <w:rFonts w:ascii="Times New Roman"/>
          <w:b/>
          <w:i w:val="false"/>
          <w:color w:val="000000"/>
        </w:rPr>
        <w:t xml:space="preserve"> 7. Территория с особым режимом использования земель</w:t>
      </w:r>
    </w:p>
    <w:bookmarkEnd w:id="8"/>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Кокжыринском сельском округе </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Кокжыраскому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w:t>
            </w:r>
            <w:r>
              <w:br/>
            </w:r>
            <w:r>
              <w:rPr>
                <w:rFonts w:ascii="Times New Roman"/>
                <w:b w:val="false"/>
                <w:i w:val="false"/>
                <w:color w:val="000000"/>
                <w:sz w:val="20"/>
              </w:rPr>
              <w:t>Кокжыринском 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Картас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Кокжыра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Сериктес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Мурсалим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Базарка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Кызбай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Кокжыринском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