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5405" w14:textId="dd15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Куйганскому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13/28-VII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Куйганскому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31 декабря 2021 года </w:t>
            </w:r>
            <w:r>
              <w:br/>
            </w:r>
            <w:r>
              <w:rPr>
                <w:rFonts w:ascii="Times New Roman"/>
                <w:b w:val="false"/>
                <w:i w:val="false"/>
                <w:color w:val="000000"/>
                <w:sz w:val="20"/>
              </w:rPr>
              <w:t>№ 13/28-VII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Куйганскому сельскому округу на 2022-2023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Куйганскому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6"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15"/>
    <w:bookmarkStart w:name="z23" w:id="16"/>
    <w:p>
      <w:pPr>
        <w:spacing w:after="0"/>
        <w:ind w:left="0"/>
        <w:jc w:val="both"/>
      </w:pPr>
      <w:r>
        <w:rPr>
          <w:rFonts w:ascii="Times New Roman"/>
          <w:b w:val="false"/>
          <w:i w:val="false"/>
          <w:color w:val="000000"/>
          <w:sz w:val="28"/>
        </w:rPr>
        <w:t>
      Общая площадь территорий Куйганского сельского округа 104901 га, из них пастбищные земли 91 013 га, орошаемые земли – 3 000 га, сенокосные земли – 1 207 гектар.</w:t>
      </w:r>
    </w:p>
    <w:bookmarkEnd w:id="16"/>
    <w:bookmarkStart w:name="z24" w:id="17"/>
    <w:p>
      <w:pPr>
        <w:spacing w:after="0"/>
        <w:ind w:left="0"/>
        <w:jc w:val="both"/>
      </w:pPr>
      <w:r>
        <w:rPr>
          <w:rFonts w:ascii="Times New Roman"/>
          <w:b w:val="false"/>
          <w:i w:val="false"/>
          <w:color w:val="000000"/>
          <w:sz w:val="28"/>
        </w:rPr>
        <w:t>
      В округе действуют 1 ветеринарных пунктов, 2 убойных площадок, 1 скотомогильников.</w:t>
      </w:r>
    </w:p>
    <w:bookmarkEnd w:id="17"/>
    <w:bookmarkStart w:name="z25" w:id="18"/>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Куйганского сельского округа Тарбагатайского района" заключило договор с ТОО "ГеоСхема". </w:t>
      </w:r>
    </w:p>
    <w:bookmarkEnd w:id="18"/>
    <w:bookmarkStart w:name="z26" w:id="19"/>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19"/>
    <w:bookmarkStart w:name="z27" w:id="20"/>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0"/>
    <w:bookmarkStart w:name="z28" w:id="21"/>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1"/>
    <w:bookmarkStart w:name="z29" w:id="22"/>
    <w:p>
      <w:pPr>
        <w:spacing w:after="0"/>
        <w:ind w:left="0"/>
        <w:jc w:val="both"/>
      </w:pPr>
      <w:r>
        <w:rPr>
          <w:rFonts w:ascii="Times New Roman"/>
          <w:b w:val="false"/>
          <w:i w:val="false"/>
          <w:color w:val="000000"/>
          <w:sz w:val="28"/>
        </w:rPr>
        <w:t>
      При разработке и составлении Плана по управлению пастбищами и их использованию использовались следующие материалы:</w:t>
      </w:r>
    </w:p>
    <w:bookmarkEnd w:id="22"/>
    <w:bookmarkStart w:name="z30" w:id="23"/>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bookmarkEnd w:id="23"/>
    <w:bookmarkStart w:name="z31" w:id="24"/>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bookmarkEnd w:id="24"/>
    <w:bookmarkStart w:name="z32" w:id="25"/>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крестьянских или фермерских хозяйствах по сельским округам на 01.07. 2018 г.;</w:t>
      </w:r>
    </w:p>
    <w:bookmarkEnd w:id="25"/>
    <w:bookmarkStart w:name="z33" w:id="26"/>
    <w:p>
      <w:pPr>
        <w:spacing w:after="0"/>
        <w:ind w:left="0"/>
        <w:jc w:val="both"/>
      </w:pPr>
      <w:r>
        <w:rPr>
          <w:rFonts w:ascii="Times New Roman"/>
          <w:b w:val="false"/>
          <w:i w:val="false"/>
          <w:color w:val="000000"/>
          <w:sz w:val="28"/>
        </w:rPr>
        <w:t>
      - материалы геоботанического обследования 1980 г.;</w:t>
      </w:r>
    </w:p>
    <w:bookmarkEnd w:id="26"/>
    <w:bookmarkStart w:name="z34" w:id="27"/>
    <w:p>
      <w:pPr>
        <w:spacing w:after="0"/>
        <w:ind w:left="0"/>
        <w:jc w:val="both"/>
      </w:pPr>
      <w:r>
        <w:rPr>
          <w:rFonts w:ascii="Times New Roman"/>
          <w:b w:val="false"/>
          <w:i w:val="false"/>
          <w:color w:val="000000"/>
          <w:sz w:val="28"/>
        </w:rPr>
        <w:t>
      - инвентаризации обводненных пастбищ 1987 г.;</w:t>
      </w:r>
    </w:p>
    <w:bookmarkEnd w:id="27"/>
    <w:bookmarkStart w:name="z35" w:id="28"/>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bookmarkEnd w:id="28"/>
    <w:bookmarkStart w:name="z36" w:id="29"/>
    <w:p>
      <w:pPr>
        <w:spacing w:after="0"/>
        <w:ind w:left="0"/>
        <w:jc w:val="both"/>
      </w:pPr>
      <w:r>
        <w:rPr>
          <w:rFonts w:ascii="Times New Roman"/>
          <w:b w:val="false"/>
          <w:i w:val="false"/>
          <w:color w:val="000000"/>
          <w:sz w:val="28"/>
        </w:rPr>
        <w:t>
      План по управлению пастбищами и их использованию состоит:</w:t>
      </w:r>
    </w:p>
    <w:bookmarkEnd w:id="29"/>
    <w:bookmarkStart w:name="z37" w:id="30"/>
    <w:p>
      <w:pPr>
        <w:spacing w:after="0"/>
        <w:ind w:left="0"/>
        <w:jc w:val="both"/>
      </w:pPr>
      <w:r>
        <w:rPr>
          <w:rFonts w:ascii="Times New Roman"/>
          <w:b w:val="false"/>
          <w:i w:val="false"/>
          <w:color w:val="000000"/>
          <w:sz w:val="28"/>
        </w:rPr>
        <w:t>
      - текстовая часть – пояснительная записка;</w:t>
      </w:r>
    </w:p>
    <w:bookmarkEnd w:id="30"/>
    <w:bookmarkStart w:name="z38" w:id="31"/>
    <w:p>
      <w:pPr>
        <w:spacing w:after="0"/>
        <w:ind w:left="0"/>
        <w:jc w:val="both"/>
      </w:pPr>
      <w:r>
        <w:rPr>
          <w:rFonts w:ascii="Times New Roman"/>
          <w:b w:val="false"/>
          <w:i w:val="false"/>
          <w:color w:val="000000"/>
          <w:sz w:val="28"/>
        </w:rPr>
        <w:t xml:space="preserve">
      - карта расположения пастбищ на территории сельского округа в </w:t>
      </w:r>
    </w:p>
    <w:bookmarkEnd w:id="31"/>
    <w:bookmarkStart w:name="z39" w:id="32"/>
    <w:p>
      <w:pPr>
        <w:spacing w:after="0"/>
        <w:ind w:left="0"/>
        <w:jc w:val="both"/>
      </w:pPr>
      <w:r>
        <w:rPr>
          <w:rFonts w:ascii="Times New Roman"/>
          <w:b w:val="false"/>
          <w:i w:val="false"/>
          <w:color w:val="000000"/>
          <w:sz w:val="28"/>
        </w:rPr>
        <w:t>
      М 1: 50 000;</w:t>
      </w:r>
    </w:p>
    <w:bookmarkEnd w:id="32"/>
    <w:bookmarkStart w:name="z40" w:id="33"/>
    <w:p>
      <w:pPr>
        <w:spacing w:after="0"/>
        <w:ind w:left="0"/>
        <w:jc w:val="both"/>
      </w:pPr>
      <w:r>
        <w:rPr>
          <w:rFonts w:ascii="Times New Roman"/>
          <w:b w:val="false"/>
          <w:i w:val="false"/>
          <w:color w:val="000000"/>
          <w:sz w:val="28"/>
        </w:rPr>
        <w:t>
      - приемлемые схемы пастбищеоборотов;</w:t>
      </w:r>
    </w:p>
    <w:bookmarkEnd w:id="33"/>
    <w:bookmarkStart w:name="z41" w:id="34"/>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bookmarkEnd w:id="34"/>
    <w:bookmarkStart w:name="z42" w:id="35"/>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в сельском округе.</w:t>
      </w:r>
    </w:p>
    <w:bookmarkEnd w:id="35"/>
    <w:bookmarkStart w:name="z43" w:id="36"/>
    <w:p>
      <w:pPr>
        <w:spacing w:after="0"/>
        <w:ind w:left="0"/>
        <w:jc w:val="left"/>
      </w:pPr>
      <w:r>
        <w:rPr>
          <w:rFonts w:ascii="Times New Roman"/>
          <w:b/>
          <w:i w:val="false"/>
          <w:color w:val="000000"/>
        </w:rPr>
        <w:t xml:space="preserve"> 1. ОБЩИЕ СВЕДЕНИЯ</w:t>
      </w:r>
    </w:p>
    <w:bookmarkEnd w:id="36"/>
    <w:bookmarkStart w:name="z44" w:id="37"/>
    <w:p>
      <w:pPr>
        <w:spacing w:after="0"/>
        <w:ind w:left="0"/>
        <w:jc w:val="both"/>
      </w:pPr>
      <w:r>
        <w:rPr>
          <w:rFonts w:ascii="Times New Roman"/>
          <w:b w:val="false"/>
          <w:i w:val="false"/>
          <w:color w:val="000000"/>
          <w:sz w:val="28"/>
        </w:rPr>
        <w:t>
      Куйганский сельский округ расположен в юго-восточной части Тарбагатайского района, его площадь 103,9 тысяч га, что составляет 4,4% от площади района.</w:t>
      </w:r>
    </w:p>
    <w:bookmarkEnd w:id="37"/>
    <w:bookmarkStart w:name="z45" w:id="38"/>
    <w:p>
      <w:pPr>
        <w:spacing w:after="0"/>
        <w:ind w:left="0"/>
        <w:jc w:val="both"/>
      </w:pPr>
      <w:r>
        <w:rPr>
          <w:rFonts w:ascii="Times New Roman"/>
          <w:b w:val="false"/>
          <w:i w:val="false"/>
          <w:color w:val="000000"/>
          <w:sz w:val="28"/>
        </w:rPr>
        <w:t>
      На севере сельский округ граничит с землями Акжарского сельского округа, на востоке с землями Жетиаральского сельского округа, на юге с землями Китайским Республикам, на западе с землями Карасуйского сельского округа.</w:t>
      </w:r>
    </w:p>
    <w:bookmarkEnd w:id="38"/>
    <w:bookmarkStart w:name="z46" w:id="39"/>
    <w:p>
      <w:pPr>
        <w:spacing w:after="0"/>
        <w:ind w:left="0"/>
        <w:jc w:val="both"/>
      </w:pPr>
      <w:r>
        <w:rPr>
          <w:rFonts w:ascii="Times New Roman"/>
          <w:b w:val="false"/>
          <w:i w:val="false"/>
          <w:color w:val="000000"/>
          <w:sz w:val="28"/>
        </w:rPr>
        <w:t>
      Центром сельского округа является село Куйган, расположенное в 84 км от районного центра с. Аксуат.</w:t>
      </w:r>
    </w:p>
    <w:bookmarkEnd w:id="39"/>
    <w:bookmarkStart w:name="z47" w:id="40"/>
    <w:p>
      <w:pPr>
        <w:spacing w:after="0"/>
        <w:ind w:left="0"/>
        <w:jc w:val="both"/>
      </w:pPr>
      <w:r>
        <w:rPr>
          <w:rFonts w:ascii="Times New Roman"/>
          <w:b w:val="false"/>
          <w:i w:val="false"/>
          <w:color w:val="000000"/>
          <w:sz w:val="28"/>
        </w:rPr>
        <w:t>
      Транспортная связь с райцентром осуществляется по автодороге местного значения с.Аксуат – Ойшилик - Куйган.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40"/>
    <w:bookmarkStart w:name="z48" w:id="41"/>
    <w:p>
      <w:pPr>
        <w:spacing w:after="0"/>
        <w:ind w:left="0"/>
        <w:jc w:val="both"/>
      </w:pPr>
      <w:r>
        <w:rPr>
          <w:rFonts w:ascii="Times New Roman"/>
          <w:b w:val="false"/>
          <w:i w:val="false"/>
          <w:color w:val="000000"/>
          <w:sz w:val="28"/>
        </w:rPr>
        <w:t xml:space="preserve">
      Согласно административно-территориальному делению на территория сельского округа расположено 3 сельских населенных пункта: - с.Куйган, </w:t>
      </w:r>
    </w:p>
    <w:bookmarkEnd w:id="41"/>
    <w:bookmarkStart w:name="z49" w:id="42"/>
    <w:p>
      <w:pPr>
        <w:spacing w:after="0"/>
        <w:ind w:left="0"/>
        <w:jc w:val="both"/>
      </w:pPr>
      <w:r>
        <w:rPr>
          <w:rFonts w:ascii="Times New Roman"/>
          <w:b w:val="false"/>
          <w:i w:val="false"/>
          <w:color w:val="000000"/>
          <w:sz w:val="28"/>
        </w:rPr>
        <w:t>
      с.Жаланаш, с.Жамбыл.</w:t>
      </w:r>
    </w:p>
    <w:bookmarkEnd w:id="42"/>
    <w:bookmarkStart w:name="z50" w:id="43"/>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7213 голов крупного рогатого скота, 2426 голов лошадей и 12650 голов овец и коз.</w:t>
      </w:r>
    </w:p>
    <w:bookmarkEnd w:id="43"/>
    <w:bookmarkStart w:name="z51" w:id="44"/>
    <w:p>
      <w:pPr>
        <w:spacing w:after="0"/>
        <w:ind w:left="0"/>
        <w:jc w:val="left"/>
      </w:pPr>
      <w:r>
        <w:rPr>
          <w:rFonts w:ascii="Times New Roman"/>
          <w:b/>
          <w:i w:val="false"/>
          <w:color w:val="000000"/>
        </w:rPr>
        <w:t xml:space="preserve"> 2. РАСТИТЕЛЬНОСТЬ</w:t>
      </w:r>
    </w:p>
    <w:bookmarkEnd w:id="44"/>
    <w:bookmarkStart w:name="z52" w:id="4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45"/>
    <w:bookmarkStart w:name="z53" w:id="4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46"/>
    <w:bookmarkStart w:name="z54" w:id="4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47"/>
    <w:bookmarkStart w:name="z55" w:id="48"/>
    <w:p>
      <w:pPr>
        <w:spacing w:after="0"/>
        <w:ind w:left="0"/>
        <w:jc w:val="both"/>
      </w:pPr>
      <w:r>
        <w:rPr>
          <w:rFonts w:ascii="Times New Roman"/>
          <w:b w:val="false"/>
          <w:i w:val="false"/>
          <w:color w:val="000000"/>
          <w:sz w:val="28"/>
        </w:rPr>
        <w:t>
      3. ОРГАНИЗАЦИЯ ТЕРРИТОРИИ ПАСТБИЩ</w:t>
      </w:r>
    </w:p>
    <w:bookmarkEnd w:id="48"/>
    <w:bookmarkStart w:name="z56" w:id="49"/>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49"/>
    <w:bookmarkStart w:name="z57" w:id="50"/>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50"/>
    <w:bookmarkStart w:name="z58" w:id="51"/>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51"/>
    <w:bookmarkStart w:name="z59" w:id="52"/>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52"/>
    <w:bookmarkStart w:name="z60" w:id="53"/>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53"/>
    <w:bookmarkStart w:name="z61" w:id="54"/>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3" w:id="55"/>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5" w:id="56"/>
    <w:p>
      <w:pPr>
        <w:spacing w:after="0"/>
        <w:ind w:left="0"/>
        <w:jc w:val="both"/>
      </w:pPr>
      <w:r>
        <w:rPr>
          <w:rFonts w:ascii="Times New Roman"/>
          <w:b w:val="false"/>
          <w:i w:val="false"/>
          <w:color w:val="000000"/>
          <w:sz w:val="28"/>
        </w:rPr>
        <w:t>
      Схема четырехпольного пастбищеоборота на летних пастбищах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7" w:id="57"/>
    <w:p>
      <w:pPr>
        <w:spacing w:after="0"/>
        <w:ind w:left="0"/>
        <w:jc w:val="both"/>
      </w:pPr>
      <w:r>
        <w:rPr>
          <w:rFonts w:ascii="Times New Roman"/>
          <w:b w:val="false"/>
          <w:i w:val="false"/>
          <w:color w:val="000000"/>
          <w:sz w:val="28"/>
        </w:rPr>
        <w:t>
      Схема четырехпольного пастбищеоборота на зимних пастбищах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bookmarkStart w:name="z68" w:id="58"/>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58"/>
    <w:bookmarkStart w:name="z69" w:id="5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59"/>
    <w:bookmarkStart w:name="z70" w:id="60"/>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60"/>
    <w:bookmarkStart w:name="z71" w:id="61"/>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bookmarkEnd w:id="61"/>
    <w:bookmarkStart w:name="z72" w:id="62"/>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bookmarkEnd w:id="62"/>
    <w:bookmarkStart w:name="z73" w:id="63"/>
    <w:p>
      <w:pPr>
        <w:spacing w:after="0"/>
        <w:ind w:left="0"/>
        <w:jc w:val="both"/>
      </w:pPr>
      <w:r>
        <w:rPr>
          <w:rFonts w:ascii="Times New Roman"/>
          <w:b w:val="false"/>
          <w:i w:val="false"/>
          <w:color w:val="000000"/>
          <w:sz w:val="28"/>
        </w:rPr>
        <w:t>
      Исходя из наличия поголовья животных в домашних и крестьянских хозяйствах на 1 июля 2021 года, по данным предоставленным акимами сельских округов (таблица 6), с учетом норм кормления и удельного содержания пастбищного корма в рационе кормления, атакже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7).</w:t>
      </w:r>
    </w:p>
    <w:bookmarkEnd w:id="63"/>
    <w:bookmarkStart w:name="z74" w:id="64"/>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64"/>
    <w:bookmarkStart w:name="z75" w:id="65"/>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bookmarkEnd w:id="65"/>
    <w:bookmarkStart w:name="z76" w:id="66"/>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66"/>
    <w:bookmarkStart w:name="z77" w:id="67"/>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67"/>
    <w:bookmarkStart w:name="z78" w:id="68"/>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2426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В настоящее время на территории района имеется племенной репродуктор по разведению казахской лошади "Джабе". Система содержания лошадей – конюшенно-пастбищная. Продолжительность пастбищного периода составляет 300-320 дней.</w:t>
      </w:r>
    </w:p>
    <w:bookmarkEnd w:id="68"/>
    <w:bookmarkStart w:name="z79" w:id="69"/>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12650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1" w:id="70"/>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Наименование</w:t>
            </w:r>
          </w:p>
          <w:bookmarkEnd w:id="71"/>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Виды</w:t>
            </w:r>
          </w:p>
          <w:bookmarkEnd w:id="72"/>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Коли-чест-во</w:t>
            </w:r>
          </w:p>
          <w:bookmarkEnd w:id="73"/>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Выход пастбищных кор-мов с</w:t>
            </w:r>
          </w:p>
          <w:bookmarkEnd w:id="74"/>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7213</w:t>
            </w:r>
          </w:p>
          <w:p>
            <w:pPr>
              <w:spacing w:after="20"/>
              <w:ind w:left="20"/>
              <w:jc w:val="both"/>
            </w:pPr>
            <w:r>
              <w:rPr>
                <w:rFonts w:ascii="Times New Roman"/>
                <w:b w:val="false"/>
                <w:i w:val="false"/>
                <w:color w:val="000000"/>
                <w:sz w:val="20"/>
              </w:rPr>
              <w:t>
</w:t>
            </w:r>
            <w:r>
              <w:rPr>
                <w:rFonts w:ascii="Times New Roman"/>
                <w:b w:val="false"/>
                <w:i w:val="false"/>
                <w:color w:val="000000"/>
                <w:sz w:val="20"/>
              </w:rPr>
              <w:t>12650</w:t>
            </w:r>
          </w:p>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524190</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288520</w:t>
            </w:r>
          </w:p>
          <w:p>
            <w:pPr>
              <w:spacing w:after="20"/>
              <w:ind w:left="20"/>
              <w:jc w:val="both"/>
            </w:pPr>
            <w:r>
              <w:rPr>
                <w:rFonts w:ascii="Times New Roman"/>
                <w:b w:val="false"/>
                <w:i w:val="false"/>
                <w:color w:val="000000"/>
                <w:sz w:val="20"/>
              </w:rPr>
              <w:t>
</w:t>
            </w:r>
            <w:r>
              <w:rPr>
                <w:rFonts w:ascii="Times New Roman"/>
                <w:b w:val="false"/>
                <w:i w:val="false"/>
                <w:color w:val="000000"/>
                <w:sz w:val="20"/>
              </w:rPr>
              <w:t>126500</w:t>
            </w:r>
          </w:p>
          <w:p>
            <w:pPr>
              <w:spacing w:after="20"/>
              <w:ind w:left="20"/>
              <w:jc w:val="both"/>
            </w:pPr>
            <w:r>
              <w:rPr>
                <w:rFonts w:ascii="Times New Roman"/>
                <w:b w:val="false"/>
                <w:i w:val="false"/>
                <w:color w:val="000000"/>
                <w:sz w:val="20"/>
              </w:rPr>
              <w:t>
109170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6" w:id="79"/>
    <w:p>
      <w:pPr>
        <w:spacing w:after="0"/>
        <w:ind w:left="0"/>
        <w:jc w:val="both"/>
      </w:pPr>
      <w:r>
        <w:rPr>
          <w:rFonts w:ascii="Times New Roman"/>
          <w:b w:val="false"/>
          <w:i w:val="false"/>
          <w:color w:val="000000"/>
          <w:sz w:val="28"/>
        </w:rPr>
        <w:t>
      Обеспеченность пастбищами скота по сельскому округу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Наимено-вание</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Виды</w:t>
            </w:r>
          </w:p>
          <w:bookmarkEnd w:id="81"/>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Пого-ловье</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Требуется</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Недостаток –</w:t>
            </w:r>
          </w:p>
          <w:bookmarkEnd w:id="84"/>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7213</w:t>
            </w:r>
          </w:p>
          <w:p>
            <w:pPr>
              <w:spacing w:after="20"/>
              <w:ind w:left="20"/>
              <w:jc w:val="both"/>
            </w:pPr>
            <w:r>
              <w:rPr>
                <w:rFonts w:ascii="Times New Roman"/>
                <w:b w:val="false"/>
                <w:i w:val="false"/>
                <w:color w:val="000000"/>
                <w:sz w:val="20"/>
              </w:rPr>
              <w:t>
</w:t>
            </w:r>
            <w:r>
              <w:rPr>
                <w:rFonts w:ascii="Times New Roman"/>
                <w:b w:val="false"/>
                <w:i w:val="false"/>
                <w:color w:val="000000"/>
                <w:sz w:val="20"/>
              </w:rPr>
              <w:t>12650</w:t>
            </w:r>
          </w:p>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34946</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19235</w:t>
            </w:r>
          </w:p>
          <w:p>
            <w:pPr>
              <w:spacing w:after="20"/>
              <w:ind w:left="20"/>
              <w:jc w:val="both"/>
            </w:pPr>
            <w:r>
              <w:rPr>
                <w:rFonts w:ascii="Times New Roman"/>
                <w:b w:val="false"/>
                <w:i w:val="false"/>
                <w:color w:val="000000"/>
                <w:sz w:val="20"/>
              </w:rPr>
              <w:t>
</w:t>
            </w:r>
            <w:r>
              <w:rPr>
                <w:rFonts w:ascii="Times New Roman"/>
                <w:b w:val="false"/>
                <w:i w:val="false"/>
                <w:color w:val="000000"/>
                <w:sz w:val="20"/>
              </w:rPr>
              <w:t>8433</w:t>
            </w:r>
          </w:p>
          <w:p>
            <w:pPr>
              <w:spacing w:after="20"/>
              <w:ind w:left="20"/>
              <w:jc w:val="both"/>
            </w:pPr>
            <w:r>
              <w:rPr>
                <w:rFonts w:ascii="Times New Roman"/>
                <w:b w:val="false"/>
                <w:i w:val="false"/>
                <w:color w:val="000000"/>
                <w:sz w:val="20"/>
              </w:rPr>
              <w:t>
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-25645,6</w:t>
            </w:r>
          </w:p>
        </w:tc>
      </w:tr>
    </w:tbl>
    <w:bookmarkStart w:name="z112" w:id="88"/>
    <w:p>
      <w:pPr>
        <w:spacing w:after="0"/>
        <w:ind w:left="0"/>
        <w:jc w:val="both"/>
      </w:pPr>
      <w:r>
        <w:rPr>
          <w:rFonts w:ascii="Times New Roman"/>
          <w:b w:val="false"/>
          <w:i w:val="false"/>
          <w:color w:val="000000"/>
          <w:sz w:val="28"/>
        </w:rPr>
        <w:t>
      6. ПРИРОДООХРАННЫЕ МЕРОПРИЯТИЯ</w:t>
      </w:r>
    </w:p>
    <w:bookmarkEnd w:id="88"/>
    <w:bookmarkStart w:name="z113" w:id="89"/>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bookmarkEnd w:id="89"/>
    <w:bookmarkStart w:name="z114" w:id="90"/>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bookmarkEnd w:id="90"/>
    <w:bookmarkStart w:name="z115" w:id="91"/>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bookmarkEnd w:id="91"/>
    <w:bookmarkStart w:name="z116" w:id="92"/>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End w:id="92"/>
    <w:bookmarkStart w:name="z117" w:id="93"/>
    <w:p>
      <w:pPr>
        <w:spacing w:after="0"/>
        <w:ind w:left="0"/>
        <w:jc w:val="both"/>
      </w:pPr>
      <w:r>
        <w:rPr>
          <w:rFonts w:ascii="Times New Roman"/>
          <w:b w:val="false"/>
          <w:i w:val="false"/>
          <w:color w:val="000000"/>
          <w:sz w:val="28"/>
        </w:rPr>
        <w:t>
      7. Территория с особым режимом использования земель</w:t>
      </w:r>
    </w:p>
    <w:bookmarkEnd w:id="93"/>
    <w:bookmarkStart w:name="z118" w:id="94"/>
    <w:p>
      <w:pPr>
        <w:spacing w:after="0"/>
        <w:ind w:left="0"/>
        <w:jc w:val="both"/>
      </w:pPr>
      <w:r>
        <w:rPr>
          <w:rFonts w:ascii="Times New Roman"/>
          <w:b w:val="false"/>
          <w:i w:val="false"/>
          <w:color w:val="000000"/>
          <w:sz w:val="28"/>
        </w:rPr>
        <w:t>
      В соответствии с Правилами установления водоохранных зон и полос, утвержденными приказом Министра сельского хозяйства от 18 мая 2015 года № 19 – 1/446, с изменениями внесенными приказом Заместителя Премьер-Министра Республики Казахстан - Министра сельского хозяйства Республики Казахстан от 6 сентября 2017 г. № 379, настоящим проектом даны рекомендации по водоохранным зонам (ВЗ) и водоохранным полосам (ВП).</w:t>
      </w:r>
    </w:p>
    <w:bookmarkEnd w:id="94"/>
    <w:bookmarkStart w:name="z119" w:id="95"/>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95"/>
    <w:bookmarkStart w:name="z120" w:id="96"/>
    <w:p>
      <w:pPr>
        <w:spacing w:after="0"/>
        <w:ind w:left="0"/>
        <w:jc w:val="both"/>
      </w:pPr>
      <w:r>
        <w:rPr>
          <w:rFonts w:ascii="Times New Roman"/>
          <w:b w:val="false"/>
          <w:i w:val="false"/>
          <w:color w:val="000000"/>
          <w:sz w:val="28"/>
        </w:rPr>
        <w:t>
      В соответствии с требованиями статьи 125 Водного Кодекса Республики Казахстан в пределах водоохраной полосы запрещается:</w:t>
      </w:r>
    </w:p>
    <w:bookmarkEnd w:id="96"/>
    <w:bookmarkStart w:name="z121" w:id="97"/>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97"/>
    <w:bookmarkStart w:name="z122" w:id="98"/>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98"/>
    <w:bookmarkStart w:name="z123" w:id="99"/>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99"/>
    <w:bookmarkStart w:name="z124" w:id="100"/>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100"/>
    <w:bookmarkStart w:name="z125" w:id="101"/>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101"/>
    <w:bookmarkStart w:name="z126" w:id="102"/>
    <w:p>
      <w:pPr>
        <w:spacing w:after="0"/>
        <w:ind w:left="0"/>
        <w:jc w:val="both"/>
      </w:pPr>
      <w:r>
        <w:rPr>
          <w:rFonts w:ascii="Times New Roman"/>
          <w:b w:val="false"/>
          <w:i w:val="false"/>
          <w:color w:val="000000"/>
          <w:sz w:val="28"/>
        </w:rPr>
        <w:t>
      - применение всех видов удобрений.</w:t>
      </w:r>
    </w:p>
    <w:bookmarkEnd w:id="102"/>
    <w:bookmarkStart w:name="z127" w:id="103"/>
    <w:p>
      <w:pPr>
        <w:spacing w:after="0"/>
        <w:ind w:left="0"/>
        <w:jc w:val="both"/>
      </w:pPr>
      <w:r>
        <w:rPr>
          <w:rFonts w:ascii="Times New Roman"/>
          <w:b w:val="false"/>
          <w:i w:val="false"/>
          <w:color w:val="000000"/>
          <w:sz w:val="28"/>
        </w:rPr>
        <w:t>
      в пределах водоохранных зон запрещается:</w:t>
      </w:r>
    </w:p>
    <w:bookmarkEnd w:id="103"/>
    <w:bookmarkStart w:name="z128" w:id="104"/>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104"/>
    <w:bookmarkStart w:name="z129" w:id="105"/>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105"/>
    <w:bookmarkStart w:name="z130" w:id="106"/>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106"/>
    <w:bookmarkStart w:name="z131" w:id="107"/>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107"/>
    <w:bookmarkStart w:name="z132" w:id="108"/>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108"/>
    <w:bookmarkStart w:name="z133" w:id="109"/>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109"/>
    <w:bookmarkStart w:name="z134" w:id="110"/>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110"/>
    <w:bookmarkStart w:name="z135" w:id="111"/>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Куйганском сельском округе </w:t>
            </w:r>
            <w:r>
              <w:br/>
            </w:r>
            <w:r>
              <w:rPr>
                <w:rFonts w:ascii="Times New Roman"/>
                <w:b w:val="false"/>
                <w:i w:val="false"/>
                <w:color w:val="000000"/>
                <w:sz w:val="20"/>
              </w:rPr>
              <w:t>на 2022-2023 годы</w:t>
            </w:r>
          </w:p>
        </w:tc>
      </w:tr>
    </w:tbl>
    <w:bookmarkStart w:name="z137" w:id="112"/>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Куйганскому сельскому округу собственников земельных участков и землепользователей на основании правоустанавливающих документов</w:t>
      </w:r>
    </w:p>
    <w:bookmarkEnd w:id="112"/>
    <w:bookmarkStart w:name="z13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Куйганском сельском округе </w:t>
            </w:r>
            <w:r>
              <w:br/>
            </w:r>
            <w:r>
              <w:rPr>
                <w:rFonts w:ascii="Times New Roman"/>
                <w:b w:val="false"/>
                <w:i w:val="false"/>
                <w:color w:val="000000"/>
                <w:sz w:val="20"/>
              </w:rPr>
              <w:t>на 2022-2023 годы</w:t>
            </w:r>
          </w:p>
        </w:tc>
      </w:tr>
    </w:tbl>
    <w:bookmarkStart w:name="z140" w:id="114"/>
    <w:p>
      <w:pPr>
        <w:spacing w:after="0"/>
        <w:ind w:left="0"/>
        <w:jc w:val="left"/>
      </w:pPr>
      <w:r>
        <w:rPr>
          <w:rFonts w:ascii="Times New Roman"/>
          <w:b/>
          <w:i w:val="false"/>
          <w:color w:val="000000"/>
        </w:rPr>
        <w:t xml:space="preserve"> Приемлемые схемы пастбищеоборотов</w:t>
      </w:r>
    </w:p>
    <w:bookmarkEnd w:id="114"/>
    <w:bookmarkStart w:name="z14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Куйганском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43" w:id="11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6"/>
    <w:bookmarkStart w:name="z144"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Куйганском сельском округе </w:t>
            </w:r>
            <w:r>
              <w:br/>
            </w:r>
            <w:r>
              <w:rPr>
                <w:rFonts w:ascii="Times New Roman"/>
                <w:b w:val="false"/>
                <w:i w:val="false"/>
                <w:color w:val="000000"/>
                <w:sz w:val="20"/>
              </w:rPr>
              <w:t>на 2022-2023 годы</w:t>
            </w:r>
          </w:p>
        </w:tc>
      </w:tr>
    </w:tbl>
    <w:bookmarkStart w:name="z146" w:id="1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bookmarkEnd w:id="118"/>
    <w:bookmarkStart w:name="z14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Куйганском сельском округе </w:t>
            </w:r>
            <w:r>
              <w:br/>
            </w:r>
            <w:r>
              <w:rPr>
                <w:rFonts w:ascii="Times New Roman"/>
                <w:b w:val="false"/>
                <w:i w:val="false"/>
                <w:color w:val="000000"/>
                <w:sz w:val="20"/>
              </w:rPr>
              <w:t>на 2022-2023 годы</w:t>
            </w:r>
          </w:p>
        </w:tc>
      </w:tr>
    </w:tbl>
    <w:bookmarkStart w:name="z149" w:id="12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0"/>
    <w:bookmarkStart w:name="z15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Куйганском сельском округе </w:t>
            </w:r>
            <w:r>
              <w:br/>
            </w:r>
            <w:r>
              <w:rPr>
                <w:rFonts w:ascii="Times New Roman"/>
                <w:b w:val="false"/>
                <w:i w:val="false"/>
                <w:color w:val="000000"/>
                <w:sz w:val="20"/>
              </w:rPr>
              <w:t>на 2022-2023 годы</w:t>
            </w:r>
          </w:p>
        </w:tc>
      </w:tr>
    </w:tbl>
    <w:bookmarkStart w:name="z152" w:id="12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bookmarkEnd w:id="122"/>
    <w:bookmarkStart w:name="z15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Куйганском сельском округе </w:t>
            </w:r>
            <w:r>
              <w:br/>
            </w:r>
            <w:r>
              <w:rPr>
                <w:rFonts w:ascii="Times New Roman"/>
                <w:b w:val="false"/>
                <w:i w:val="false"/>
                <w:color w:val="000000"/>
                <w:sz w:val="20"/>
              </w:rPr>
              <w:t>на 2022-2023 годы</w:t>
            </w:r>
          </w:p>
        </w:tc>
      </w:tr>
    </w:tbl>
    <w:bookmarkStart w:name="z155" w:id="124"/>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Куйганском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2022-2023 годы</w:t>
            </w:r>
          </w:p>
        </w:tc>
      </w:tr>
    </w:tbl>
    <w:bookmarkStart w:name="z157" w:id="125"/>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25"/>
    <w:bookmarkStart w:name="z15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