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80f8" w14:textId="42e8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Карасускому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13/27-VII</w:t>
      </w:r>
    </w:p>
    <w:p>
      <w:pPr>
        <w:spacing w:after="0"/>
        <w:ind w:left="0"/>
        <w:jc w:val="both"/>
      </w:pPr>
      <w:bookmarkStart w:name="z16"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17"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Карасускому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31 декабря 2021 года</w:t>
            </w:r>
            <w:r>
              <w:br/>
            </w:r>
            <w:r>
              <w:rPr>
                <w:rFonts w:ascii="Times New Roman"/>
                <w:b w:val="false"/>
                <w:i w:val="false"/>
                <w:color w:val="000000"/>
                <w:sz w:val="20"/>
              </w:rPr>
              <w:t>№ 13/27-VII</w:t>
            </w:r>
          </w:p>
        </w:tc>
      </w:tr>
    </w:tbl>
    <w:p>
      <w:pPr>
        <w:spacing w:after="0"/>
        <w:ind w:left="0"/>
        <w:jc w:val="left"/>
      </w:pPr>
      <w:r>
        <w:rPr>
          <w:rFonts w:ascii="Times New Roman"/>
          <w:b/>
          <w:i w:val="false"/>
          <w:color w:val="000000"/>
        </w:rPr>
        <w:t xml:space="preserve"> План по управлению пастбищами и их использованию по Карасускому сельскому округу на 2022-2023 годы.</w:t>
      </w:r>
    </w:p>
    <w:bookmarkStart w:name="z18" w:id="2"/>
    <w:p>
      <w:pPr>
        <w:spacing w:after="0"/>
        <w:ind w:left="0"/>
        <w:jc w:val="both"/>
      </w:pPr>
      <w:r>
        <w:rPr>
          <w:rFonts w:ascii="Times New Roman"/>
          <w:b w:val="false"/>
          <w:i w:val="false"/>
          <w:color w:val="000000"/>
          <w:sz w:val="28"/>
        </w:rPr>
        <w:t>
      Настоящий План по управлению пастбищами и их использованию по Карасускому сельскому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p>
      <w:pPr>
        <w:spacing w:after="0"/>
        <w:ind w:left="0"/>
        <w:jc w:val="both"/>
      </w:pPr>
      <w:r>
        <w:rPr>
          <w:rFonts w:ascii="Times New Roman"/>
          <w:b w:val="false"/>
          <w:i w:val="false"/>
          <w:color w:val="000000"/>
          <w:sz w:val="28"/>
        </w:rPr>
        <w:t>
      Общая площадь территорий Карасуского сельского округа 140636 га, из них пастбищные земли 117023 га, орошаемые земли – 7595 га, сенокосные земли – 1118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126913 га;</w:t>
      </w:r>
    </w:p>
    <w:p>
      <w:pPr>
        <w:spacing w:after="0"/>
        <w:ind w:left="0"/>
        <w:jc w:val="both"/>
      </w:pPr>
      <w:r>
        <w:rPr>
          <w:rFonts w:ascii="Times New Roman"/>
          <w:b w:val="false"/>
          <w:i w:val="false"/>
          <w:color w:val="000000"/>
          <w:sz w:val="28"/>
        </w:rPr>
        <w:t>
      Земли населенных пунктов – 2297 га;</w:t>
      </w:r>
    </w:p>
    <w:p>
      <w:pPr>
        <w:spacing w:after="0"/>
        <w:ind w:left="0"/>
        <w:jc w:val="both"/>
      </w:pPr>
      <w:r>
        <w:rPr>
          <w:rFonts w:ascii="Times New Roman"/>
          <w:b w:val="false"/>
          <w:i w:val="false"/>
          <w:color w:val="000000"/>
          <w:sz w:val="28"/>
        </w:rPr>
        <w:t>
      В селе действуют 1 ветеринарных пунктов, 2 убойных площадок, 1 скотомогильников.</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Карасуйского сельского округа Тарбагатайского района" заключило договор с ТОО "ГеоСхема".</w:t>
      </w:r>
    </w:p>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p>
      <w:pPr>
        <w:spacing w:after="0"/>
        <w:ind w:left="0"/>
        <w:jc w:val="both"/>
      </w:pPr>
      <w:r>
        <w:rPr>
          <w:rFonts w:ascii="Times New Roman"/>
          <w:b w:val="false"/>
          <w:i w:val="false"/>
          <w:color w:val="000000"/>
          <w:sz w:val="28"/>
        </w:rPr>
        <w:t xml:space="preserve">
      При разработке и составлении Плана по управлению пастбищами и их использованию использовались следующие материалы: </w:t>
      </w:r>
    </w:p>
    <w:p>
      <w:pPr>
        <w:spacing w:after="0"/>
        <w:ind w:left="0"/>
        <w:jc w:val="both"/>
      </w:pPr>
      <w:r>
        <w:rPr>
          <w:rFonts w:ascii="Times New Roman"/>
          <w:b w:val="false"/>
          <w:i w:val="false"/>
          <w:color w:val="000000"/>
          <w:sz w:val="28"/>
        </w:rPr>
        <w:t>
      - планово картографический M l:25000 аэросъемки 1980 г. и дешифровки 1985 г.;</w:t>
      </w:r>
    </w:p>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p>
      <w:pPr>
        <w:spacing w:after="0"/>
        <w:ind w:left="0"/>
        <w:jc w:val="both"/>
      </w:pPr>
      <w:r>
        <w:rPr>
          <w:rFonts w:ascii="Times New Roman"/>
          <w:b w:val="false"/>
          <w:i w:val="false"/>
          <w:color w:val="000000"/>
          <w:sz w:val="28"/>
        </w:rPr>
        <w:t>
      - материалы геоботанического обследования 1980 г.;</w:t>
      </w:r>
    </w:p>
    <w:p>
      <w:pPr>
        <w:spacing w:after="0"/>
        <w:ind w:left="0"/>
        <w:jc w:val="both"/>
      </w:pPr>
      <w:r>
        <w:rPr>
          <w:rFonts w:ascii="Times New Roman"/>
          <w:b w:val="false"/>
          <w:i w:val="false"/>
          <w:color w:val="000000"/>
          <w:sz w:val="28"/>
        </w:rPr>
        <w:t>
      - инвентаризации обводненных пастбищ 1987 г.;</w:t>
      </w:r>
    </w:p>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p>
      <w:pPr>
        <w:spacing w:after="0"/>
        <w:ind w:left="0"/>
        <w:jc w:val="both"/>
      </w:pPr>
      <w:r>
        <w:rPr>
          <w:rFonts w:ascii="Times New Roman"/>
          <w:b w:val="false"/>
          <w:i w:val="false"/>
          <w:color w:val="000000"/>
          <w:sz w:val="28"/>
        </w:rPr>
        <w:t>
      План по управлению пастбищами и их использованию состоит:</w:t>
      </w:r>
    </w:p>
    <w:p>
      <w:pPr>
        <w:spacing w:after="0"/>
        <w:ind w:left="0"/>
        <w:jc w:val="both"/>
      </w:pPr>
      <w:r>
        <w:rPr>
          <w:rFonts w:ascii="Times New Roman"/>
          <w:b w:val="false"/>
          <w:i w:val="false"/>
          <w:color w:val="000000"/>
          <w:sz w:val="28"/>
        </w:rPr>
        <w:t>
      - текстовая часть</w:t>
      </w:r>
    </w:p>
    <w:p>
      <w:pPr>
        <w:spacing w:after="0"/>
        <w:ind w:left="0"/>
        <w:jc w:val="both"/>
      </w:pPr>
      <w:r>
        <w:rPr>
          <w:rFonts w:ascii="Times New Roman"/>
          <w:b w:val="false"/>
          <w:i w:val="false"/>
          <w:color w:val="000000"/>
          <w:sz w:val="28"/>
        </w:rPr>
        <w:t>
      – пояснительная записка;</w:t>
      </w:r>
    </w:p>
    <w:p>
      <w:pPr>
        <w:spacing w:after="0"/>
        <w:ind w:left="0"/>
        <w:jc w:val="both"/>
      </w:pPr>
      <w:r>
        <w:rPr>
          <w:rFonts w:ascii="Times New Roman"/>
          <w:b w:val="false"/>
          <w:i w:val="false"/>
          <w:color w:val="000000"/>
          <w:sz w:val="28"/>
        </w:rPr>
        <w:t xml:space="preserve">
      -карта расположения пастбищ на территории сельского округа в </w:t>
      </w:r>
    </w:p>
    <w:p>
      <w:pPr>
        <w:spacing w:after="0"/>
        <w:ind w:left="0"/>
        <w:jc w:val="both"/>
      </w:pPr>
      <w:r>
        <w:rPr>
          <w:rFonts w:ascii="Times New Roman"/>
          <w:b w:val="false"/>
          <w:i w:val="false"/>
          <w:color w:val="000000"/>
          <w:sz w:val="28"/>
        </w:rPr>
        <w:t>
      М 1: 50 000;</w:t>
      </w:r>
    </w:p>
    <w:p>
      <w:pPr>
        <w:spacing w:after="0"/>
        <w:ind w:left="0"/>
        <w:jc w:val="both"/>
      </w:pPr>
      <w:r>
        <w:rPr>
          <w:rFonts w:ascii="Times New Roman"/>
          <w:b w:val="false"/>
          <w:i w:val="false"/>
          <w:color w:val="000000"/>
          <w:sz w:val="28"/>
        </w:rPr>
        <w:t>
      -приемлемые схемы пастбищеоборотов;</w:t>
      </w:r>
    </w:p>
    <w:p>
      <w:pPr>
        <w:spacing w:after="0"/>
        <w:ind w:left="0"/>
        <w:jc w:val="both"/>
      </w:pPr>
      <w:r>
        <w:rPr>
          <w:rFonts w:ascii="Times New Roman"/>
          <w:b w:val="false"/>
          <w:i w:val="false"/>
          <w:color w:val="000000"/>
          <w:sz w:val="28"/>
        </w:rPr>
        <w:t>
      -карта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p>
      <w:pPr>
        <w:spacing w:after="0"/>
        <w:ind w:left="0"/>
        <w:jc w:val="left"/>
      </w:pPr>
      <w:r>
        <w:rPr>
          <w:rFonts w:ascii="Times New Roman"/>
          <w:b/>
          <w:i w:val="false"/>
          <w:color w:val="000000"/>
        </w:rPr>
        <w:t xml:space="preserve"> 1. ОБЩИЕ СВЕДЕНИЯ</w:t>
      </w:r>
    </w:p>
    <w:p>
      <w:pPr>
        <w:spacing w:after="0"/>
        <w:ind w:left="0"/>
        <w:jc w:val="both"/>
      </w:pPr>
      <w:r>
        <w:rPr>
          <w:rFonts w:ascii="Times New Roman"/>
          <w:b w:val="false"/>
          <w:i w:val="false"/>
          <w:color w:val="000000"/>
          <w:sz w:val="28"/>
        </w:rPr>
        <w:t>
      Карасуйский сельский округ расположен в центральной части Тарбагатайского района, его площадь 176 тысяч га, что составляет 7,4% от площади района.</w:t>
      </w:r>
    </w:p>
    <w:p>
      <w:pPr>
        <w:spacing w:after="0"/>
        <w:ind w:left="0"/>
        <w:jc w:val="both"/>
      </w:pPr>
      <w:r>
        <w:rPr>
          <w:rFonts w:ascii="Times New Roman"/>
          <w:b w:val="false"/>
          <w:i w:val="false"/>
          <w:color w:val="000000"/>
          <w:sz w:val="28"/>
        </w:rPr>
        <w:t>
      На севере сельский округ граничит с землями Кабанбайского сельского округа, на юге граничит с землями Урджарского района, на западе граничит с землями Ыргызбайского и Кумкольского сельских округов, на востоке с землями Акжарского сельского округа.</w:t>
      </w:r>
    </w:p>
    <w:p>
      <w:pPr>
        <w:spacing w:after="0"/>
        <w:ind w:left="0"/>
        <w:jc w:val="both"/>
      </w:pPr>
      <w:r>
        <w:rPr>
          <w:rFonts w:ascii="Times New Roman"/>
          <w:b w:val="false"/>
          <w:i w:val="false"/>
          <w:color w:val="000000"/>
          <w:sz w:val="28"/>
        </w:rPr>
        <w:t>
      Центром сельского округа является село Карасу расположенное в 56 км от районного центра с.Аксуат.</w:t>
      </w:r>
    </w:p>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6 сельских населенных пункта: - с. Карасу, с. Шолакорда, с.Акмектеп, с.Отеген, с.Жолкурылыс, с.Карой.</w:t>
      </w:r>
    </w:p>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Карасу.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8034 головы крупного рогатого скота, 1461 голов лошадей, 14 голов верблюдов и 13239голов овец и коз.</w:t>
      </w:r>
    </w:p>
    <w:p>
      <w:pPr>
        <w:spacing w:after="0"/>
        <w:ind w:left="0"/>
        <w:jc w:val="left"/>
      </w:pPr>
      <w:r>
        <w:rPr>
          <w:rFonts w:ascii="Times New Roman"/>
          <w:b/>
          <w:i w:val="false"/>
          <w:color w:val="000000"/>
        </w:rPr>
        <w:t xml:space="preserve"> 2. РАСТИТЕЛЬНОСТЬ</w:t>
      </w:r>
    </w:p>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Start w:name="z19" w:id="3"/>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3"/>
    <w:bookmarkStart w:name="z20" w:id="4"/>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ее высота до 10-30 см. Урожайность сухой растительной массы 1- 4ц/га.</w:t>
      </w:r>
    </w:p>
    <w:bookmarkEnd w:id="4"/>
    <w:p>
      <w:pPr>
        <w:spacing w:after="0"/>
        <w:ind w:left="0"/>
        <w:jc w:val="left"/>
      </w:pPr>
      <w:r>
        <w:rPr>
          <w:rFonts w:ascii="Times New Roman"/>
          <w:b/>
          <w:i w:val="false"/>
          <w:color w:val="000000"/>
        </w:rPr>
        <w:t xml:space="preserve"> 3. ОРГАНИЗАЦИЯ ТЕРРИТОРИИ ПАСТБИЩ</w:t>
      </w:r>
    </w:p>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both"/>
      </w:pPr>
      <w:r>
        <w:rPr>
          <w:rFonts w:ascii="Times New Roman"/>
          <w:b w:val="false"/>
          <w:i w:val="false"/>
          <w:color w:val="000000"/>
          <w:sz w:val="28"/>
        </w:rPr>
        <w:t>
      Схема пятипольного пастбищеоборота на весенне-летне-осенних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both"/>
      </w:pPr>
      <w:r>
        <w:rPr>
          <w:rFonts w:ascii="Times New Roman"/>
          <w:b w:val="false"/>
          <w:i w:val="false"/>
          <w:color w:val="000000"/>
          <w:sz w:val="28"/>
        </w:rPr>
        <w:t>
      Схема четырехпольного пастбищеоборота на летних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both"/>
      </w:pPr>
      <w:r>
        <w:rPr>
          <w:rFonts w:ascii="Times New Roman"/>
          <w:b w:val="false"/>
          <w:i w:val="false"/>
          <w:color w:val="000000"/>
          <w:sz w:val="28"/>
        </w:rPr>
        <w:t>
      Схема четырехпольного пастбищеоборота на зимних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p>
      <w:pPr>
        <w:spacing w:after="0"/>
        <w:ind w:left="0"/>
        <w:jc w:val="both"/>
      </w:pPr>
      <w:r>
        <w:rPr>
          <w:rFonts w:ascii="Times New Roman"/>
          <w:b w:val="false"/>
          <w:i w:val="false"/>
          <w:color w:val="000000"/>
          <w:sz w:val="28"/>
        </w:rPr>
        <w:t xml:space="preserve">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4). </w:t>
      </w:r>
    </w:p>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 На рассматриваемой территории имеются трубчатые и шахтные колодцы за счет которых обводнены зимние пастбища.</w:t>
      </w:r>
    </w:p>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1461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13239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both"/>
      </w:pPr>
      <w:r>
        <w:rPr>
          <w:rFonts w:ascii="Times New Roman"/>
          <w:b w:val="false"/>
          <w:i w:val="false"/>
          <w:color w:val="000000"/>
          <w:sz w:val="28"/>
        </w:rPr>
        <w:t>
      Расчет потребности пастбищ для выпаса сельскохозяйственных животных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w:t>
            </w:r>
          </w:p>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овцы,козы</w:t>
            </w:r>
          </w:p>
          <w:p>
            <w:pPr>
              <w:spacing w:after="20"/>
              <w:ind w:left="20"/>
              <w:jc w:val="both"/>
            </w:pPr>
            <w:r>
              <w:rPr>
                <w:rFonts w:ascii="Times New Roman"/>
                <w:b w:val="false"/>
                <w:i w:val="false"/>
                <w:color w:val="000000"/>
                <w:sz w:val="20"/>
              </w:rPr>
              <w:t>
лошади</w:t>
            </w:r>
          </w:p>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8034</w:t>
            </w:r>
          </w:p>
          <w:p>
            <w:pPr>
              <w:spacing w:after="20"/>
              <w:ind w:left="20"/>
              <w:jc w:val="both"/>
            </w:pPr>
            <w:r>
              <w:rPr>
                <w:rFonts w:ascii="Times New Roman"/>
                <w:b w:val="false"/>
                <w:i w:val="false"/>
                <w:color w:val="000000"/>
                <w:sz w:val="20"/>
              </w:rPr>
              <w:t>
13239</w:t>
            </w:r>
          </w:p>
          <w:p>
            <w:pPr>
              <w:spacing w:after="20"/>
              <w:ind w:left="20"/>
              <w:jc w:val="both"/>
            </w:pPr>
            <w:r>
              <w:rPr>
                <w:rFonts w:ascii="Times New Roman"/>
                <w:b w:val="false"/>
                <w:i w:val="false"/>
                <w:color w:val="000000"/>
                <w:sz w:val="20"/>
              </w:rPr>
              <w:t>
1461</w:t>
            </w:r>
          </w:p>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520125</w:t>
            </w:r>
          </w:p>
          <w:p>
            <w:pPr>
              <w:spacing w:after="20"/>
              <w:ind w:left="20"/>
              <w:jc w:val="both"/>
            </w:pPr>
            <w:r>
              <w:rPr>
                <w:rFonts w:ascii="Times New Roman"/>
                <w:b w:val="false"/>
                <w:i w:val="false"/>
                <w:color w:val="000000"/>
                <w:sz w:val="20"/>
              </w:rPr>
              <w:t>
321360</w:t>
            </w:r>
          </w:p>
          <w:p>
            <w:pPr>
              <w:spacing w:after="20"/>
              <w:ind w:left="20"/>
              <w:jc w:val="both"/>
            </w:pPr>
            <w:r>
              <w:rPr>
                <w:rFonts w:ascii="Times New Roman"/>
                <w:b w:val="false"/>
                <w:i w:val="false"/>
                <w:color w:val="000000"/>
                <w:sz w:val="20"/>
              </w:rPr>
              <w:t>
132390</w:t>
            </w:r>
          </w:p>
          <w:p>
            <w:pPr>
              <w:spacing w:after="20"/>
              <w:ind w:left="20"/>
              <w:jc w:val="both"/>
            </w:pPr>
            <w:r>
              <w:rPr>
                <w:rFonts w:ascii="Times New Roman"/>
                <w:b w:val="false"/>
                <w:i w:val="false"/>
                <w:color w:val="000000"/>
                <w:sz w:val="20"/>
              </w:rPr>
              <w:t>
65745</w:t>
            </w:r>
          </w:p>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both"/>
      </w:pPr>
      <w:r>
        <w:rPr>
          <w:rFonts w:ascii="Times New Roman"/>
          <w:b w:val="false"/>
          <w:i w:val="false"/>
          <w:color w:val="000000"/>
          <w:sz w:val="28"/>
        </w:rPr>
        <w:t>
      Обеспеченность пастбищами скота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w:t>
            </w:r>
          </w:p>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и козы</w:t>
            </w:r>
          </w:p>
          <w:p>
            <w:pPr>
              <w:spacing w:after="20"/>
              <w:ind w:left="20"/>
              <w:jc w:val="both"/>
            </w:pPr>
            <w:r>
              <w:rPr>
                <w:rFonts w:ascii="Times New Roman"/>
                <w:b w:val="false"/>
                <w:i w:val="false"/>
                <w:color w:val="000000"/>
                <w:sz w:val="20"/>
              </w:rPr>
              <w:t>
лошади</w:t>
            </w:r>
          </w:p>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8034</w:t>
            </w:r>
          </w:p>
          <w:p>
            <w:pPr>
              <w:spacing w:after="20"/>
              <w:ind w:left="20"/>
              <w:jc w:val="both"/>
            </w:pPr>
            <w:r>
              <w:rPr>
                <w:rFonts w:ascii="Times New Roman"/>
                <w:b w:val="false"/>
                <w:i w:val="false"/>
                <w:color w:val="000000"/>
                <w:sz w:val="20"/>
              </w:rPr>
              <w:t>
13239</w:t>
            </w:r>
          </w:p>
          <w:p>
            <w:pPr>
              <w:spacing w:after="20"/>
              <w:ind w:left="20"/>
              <w:jc w:val="both"/>
            </w:pPr>
            <w:r>
              <w:rPr>
                <w:rFonts w:ascii="Times New Roman"/>
                <w:b w:val="false"/>
                <w:i w:val="false"/>
                <w:color w:val="000000"/>
                <w:sz w:val="20"/>
              </w:rPr>
              <w:t>
1461</w:t>
            </w:r>
          </w:p>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34675</w:t>
            </w:r>
          </w:p>
          <w:p>
            <w:pPr>
              <w:spacing w:after="20"/>
              <w:ind w:left="20"/>
              <w:jc w:val="both"/>
            </w:pPr>
            <w:r>
              <w:rPr>
                <w:rFonts w:ascii="Times New Roman"/>
                <w:b w:val="false"/>
                <w:i w:val="false"/>
                <w:color w:val="000000"/>
                <w:sz w:val="20"/>
              </w:rPr>
              <w:t>
21424</w:t>
            </w:r>
          </w:p>
          <w:p>
            <w:pPr>
              <w:spacing w:after="20"/>
              <w:ind w:left="20"/>
              <w:jc w:val="both"/>
            </w:pPr>
            <w:r>
              <w:rPr>
                <w:rFonts w:ascii="Times New Roman"/>
                <w:b w:val="false"/>
                <w:i w:val="false"/>
                <w:color w:val="000000"/>
                <w:sz w:val="20"/>
              </w:rPr>
              <w:t>
8826</w:t>
            </w:r>
          </w:p>
          <w:p>
            <w:pPr>
              <w:spacing w:after="20"/>
              <w:ind w:left="20"/>
              <w:jc w:val="both"/>
            </w:pPr>
            <w:r>
              <w:rPr>
                <w:rFonts w:ascii="Times New Roman"/>
                <w:b w:val="false"/>
                <w:i w:val="false"/>
                <w:color w:val="000000"/>
                <w:sz w:val="20"/>
              </w:rPr>
              <w:t>
4383</w:t>
            </w:r>
          </w:p>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- 24903,9</w:t>
            </w:r>
          </w:p>
        </w:tc>
      </w:tr>
    </w:tbl>
    <w:bookmarkStart w:name="z7" w:id="5"/>
    <w:p>
      <w:pPr>
        <w:spacing w:after="0"/>
        <w:ind w:left="0"/>
        <w:jc w:val="left"/>
      </w:pPr>
      <w:r>
        <w:rPr>
          <w:rFonts w:ascii="Times New Roman"/>
          <w:b/>
          <w:i w:val="false"/>
          <w:color w:val="000000"/>
        </w:rPr>
        <w:t xml:space="preserve"> 6. ПРИРОДООХРАННЫЕ МЕРОПРИЯТИЯ</w:t>
      </w:r>
    </w:p>
    <w:bookmarkEnd w:id="5"/>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Start w:name="z21" w:id="6"/>
    <w:p>
      <w:pPr>
        <w:spacing w:after="0"/>
        <w:ind w:left="0"/>
        <w:jc w:val="left"/>
      </w:pPr>
      <w:r>
        <w:rPr>
          <w:rFonts w:ascii="Times New Roman"/>
          <w:b/>
          <w:i w:val="false"/>
          <w:color w:val="000000"/>
        </w:rPr>
        <w:t xml:space="preserve"> 7. Территория с особым режимом использования земель</w:t>
      </w:r>
    </w:p>
    <w:bookmarkEnd w:id="6"/>
    <w:p>
      <w:pPr>
        <w:spacing w:after="0"/>
        <w:ind w:left="0"/>
        <w:jc w:val="both"/>
      </w:pPr>
      <w:r>
        <w:rPr>
          <w:rFonts w:ascii="Times New Roman"/>
          <w:b w:val="false"/>
          <w:i w:val="false"/>
          <w:color w:val="000000"/>
          <w:sz w:val="28"/>
        </w:rPr>
        <w:t xml:space="preserve">
      В соответствии с Правилами установления водоохранных зон и полос,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от 18 мая 2015 года № 19 – 1/446, с изменениями внесенными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6 сентября 2017 г. № 379, настоящим проектом даны рекомендации по водоохранным зонам (ВЗ) и водоохранным полосам (ВП).</w:t>
      </w:r>
    </w:p>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p>
      <w:pPr>
        <w:spacing w:after="0"/>
        <w:ind w:left="0"/>
        <w:jc w:val="both"/>
      </w:pPr>
      <w:r>
        <w:rPr>
          <w:rFonts w:ascii="Times New Roman"/>
          <w:b w:val="false"/>
          <w:i w:val="false"/>
          <w:color w:val="000000"/>
          <w:sz w:val="28"/>
        </w:rPr>
        <w:t>
      - применение всех видов удобрений.</w:t>
      </w:r>
    </w:p>
    <w:p>
      <w:pPr>
        <w:spacing w:after="0"/>
        <w:ind w:left="0"/>
        <w:jc w:val="both"/>
      </w:pPr>
      <w:r>
        <w:rPr>
          <w:rFonts w:ascii="Times New Roman"/>
          <w:b w:val="false"/>
          <w:i w:val="false"/>
          <w:color w:val="000000"/>
          <w:sz w:val="28"/>
        </w:rPr>
        <w:t>
      в пределах водоохранных зон запрещается:</w:t>
      </w:r>
    </w:p>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Карасуском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Карасускому сельскому округу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Карасуском сельском ок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Карасуском сельском ок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 xml:space="preserve">в Карасуском сельском окна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Карасуском сельском ок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Карасуском сельском</w:t>
            </w:r>
            <w:r>
              <w:br/>
            </w:r>
            <w:r>
              <w:rPr>
                <w:rFonts w:ascii="Times New Roman"/>
                <w:b w:val="false"/>
                <w:i w:val="false"/>
                <w:color w:val="000000"/>
                <w:sz w:val="20"/>
              </w:rPr>
              <w:t>окна 2022-2023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Карасуском</w:t>
            </w:r>
            <w:r>
              <w:br/>
            </w:r>
            <w:r>
              <w:rPr>
                <w:rFonts w:ascii="Times New Roman"/>
                <w:b w:val="false"/>
                <w:i w:val="false"/>
                <w:color w:val="000000"/>
                <w:sz w:val="20"/>
              </w:rPr>
              <w:t>сельском окна 2022-2023 годы</w:t>
            </w:r>
          </w:p>
        </w:tc>
      </w:tr>
    </w:tbl>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Белаяшкола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Жолстрой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Карасуском</w:t>
            </w:r>
            <w:r>
              <w:br/>
            </w:r>
            <w:r>
              <w:rPr>
                <w:rFonts w:ascii="Times New Roman"/>
                <w:b w:val="false"/>
                <w:i w:val="false"/>
                <w:color w:val="000000"/>
                <w:sz w:val="20"/>
              </w:rPr>
              <w:t xml:space="preserve">сельском окугу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