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b7376" w14:textId="14b73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Жетиаралскому сельскому округа на 2022-2023 годы</w:t>
      </w:r>
    </w:p>
    <w:p>
      <w:pPr>
        <w:spacing w:after="0"/>
        <w:ind w:left="0"/>
        <w:jc w:val="both"/>
      </w:pPr>
      <w:r>
        <w:rPr>
          <w:rFonts w:ascii="Times New Roman"/>
          <w:b w:val="false"/>
          <w:i w:val="false"/>
          <w:color w:val="000000"/>
          <w:sz w:val="28"/>
        </w:rPr>
        <w:t>Решение Тарбагатайского районного маслихата Восточно-Казахстанской области от 31 декабря 2021 года № 13/24-VII</w:t>
      </w:r>
    </w:p>
    <w:p>
      <w:pPr>
        <w:spacing w:after="0"/>
        <w:ind w:left="0"/>
        <w:jc w:val="both"/>
      </w:pPr>
      <w:bookmarkStart w:name="z5" w:id="0"/>
      <w:r>
        <w:rPr>
          <w:rFonts w:ascii="Times New Roman"/>
          <w:b w:val="false"/>
          <w:i w:val="false"/>
          <w:color w:val="000000"/>
          <w:sz w:val="28"/>
        </w:rPr>
        <w:t xml:space="preserve">
      В соответствии со </w:t>
      </w:r>
      <w:r>
        <w:rPr>
          <w:rFonts w:ascii="Times New Roman"/>
          <w:b w:val="false"/>
          <w:i w:val="false"/>
          <w:color w:val="000000"/>
          <w:sz w:val="28"/>
        </w:rPr>
        <w:t>статьями 8</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Закона Республики Казахстан "О пастбищах" от 20 февраля 2017 года, подпунктом 15)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Тарбагатайский районный маслихат РЕШИЛ:</w:t>
      </w:r>
    </w:p>
    <w:bookmarkEnd w:id="0"/>
    <w:bookmarkStart w:name="z6"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План</w:t>
      </w:r>
      <w:r>
        <w:rPr>
          <w:rFonts w:ascii="Times New Roman"/>
          <w:b w:val="false"/>
          <w:i w:val="false"/>
          <w:color w:val="000000"/>
          <w:sz w:val="28"/>
        </w:rPr>
        <w:t xml:space="preserve"> по управлению пастбищами и их использованию по Жетиаралскому сельскому округу на 2022-2023 годы, согласно </w:t>
      </w:r>
      <w:r>
        <w:rPr>
          <w:rFonts w:ascii="Times New Roman"/>
          <w:b w:val="false"/>
          <w:i w:val="false"/>
          <w:color w:val="000000"/>
          <w:sz w:val="28"/>
        </w:rPr>
        <w:t>приложениям</w:t>
      </w:r>
      <w:r>
        <w:rPr>
          <w:rFonts w:ascii="Times New Roman"/>
          <w:b w:val="false"/>
          <w:i w:val="false"/>
          <w:color w:val="000000"/>
          <w:sz w:val="28"/>
        </w:rPr>
        <w:t xml:space="preserve"> к настоящему решению.</w:t>
      </w:r>
    </w:p>
    <w:bookmarkEnd w:id="1"/>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Тарбагатайского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Богырбаев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Тарбагатайского районного </w:t>
            </w:r>
            <w:r>
              <w:br/>
            </w:r>
            <w:r>
              <w:rPr>
                <w:rFonts w:ascii="Times New Roman"/>
                <w:b w:val="false"/>
                <w:i w:val="false"/>
                <w:color w:val="000000"/>
                <w:sz w:val="20"/>
              </w:rPr>
              <w:t xml:space="preserve">маслихата </w:t>
            </w:r>
            <w:r>
              <w:br/>
            </w:r>
            <w:r>
              <w:rPr>
                <w:rFonts w:ascii="Times New Roman"/>
                <w:b w:val="false"/>
                <w:i w:val="false"/>
                <w:color w:val="000000"/>
                <w:sz w:val="20"/>
              </w:rPr>
              <w:t xml:space="preserve">от 31 декабря 2021 года </w:t>
            </w:r>
            <w:r>
              <w:br/>
            </w:r>
            <w:r>
              <w:rPr>
                <w:rFonts w:ascii="Times New Roman"/>
                <w:b w:val="false"/>
                <w:i w:val="false"/>
                <w:color w:val="000000"/>
                <w:sz w:val="20"/>
              </w:rPr>
              <w:t>№ 13/24-VII</w:t>
            </w:r>
          </w:p>
        </w:tc>
      </w:tr>
    </w:tbl>
    <w:bookmarkStart w:name="z10" w:id="3"/>
    <w:p>
      <w:pPr>
        <w:spacing w:after="0"/>
        <w:ind w:left="0"/>
        <w:jc w:val="left"/>
      </w:pPr>
      <w:r>
        <w:rPr>
          <w:rFonts w:ascii="Times New Roman"/>
          <w:b/>
          <w:i w:val="false"/>
          <w:color w:val="000000"/>
        </w:rPr>
        <w:t xml:space="preserve"> План по управлению пастбищами и их использованию Жетиаральскому сельскому округу на 2022-2023 годы.</w:t>
      </w:r>
    </w:p>
    <w:bookmarkEnd w:id="3"/>
    <w:bookmarkStart w:name="z11" w:id="4"/>
    <w:p>
      <w:pPr>
        <w:spacing w:after="0"/>
        <w:ind w:left="0"/>
        <w:jc w:val="both"/>
      </w:pPr>
      <w:r>
        <w:rPr>
          <w:rFonts w:ascii="Times New Roman"/>
          <w:b w:val="false"/>
          <w:i w:val="false"/>
          <w:color w:val="000000"/>
          <w:sz w:val="28"/>
        </w:rPr>
        <w:t>
      Настоящий План по управлению пастбищами и их использованию по Жетиаральскому сельскому округу на 2022-2023 годы (далее План) разработан в соответствий с Законами Республики Казахстан от 20 февраля 2017 года "</w:t>
      </w:r>
      <w:r>
        <w:rPr>
          <w:rFonts w:ascii="Times New Roman"/>
          <w:b w:val="false"/>
          <w:i w:val="false"/>
          <w:color w:val="000000"/>
          <w:sz w:val="28"/>
        </w:rPr>
        <w:t>О пастбищах</w:t>
      </w:r>
      <w:r>
        <w:rPr>
          <w:rFonts w:ascii="Times New Roman"/>
          <w:b w:val="false"/>
          <w:i w:val="false"/>
          <w:color w:val="000000"/>
          <w:sz w:val="28"/>
        </w:rPr>
        <w:t>", от 23 января 2001 года "</w:t>
      </w:r>
      <w:r>
        <w:rPr>
          <w:rFonts w:ascii="Times New Roman"/>
          <w:b w:val="false"/>
          <w:i w:val="false"/>
          <w:color w:val="000000"/>
          <w:sz w:val="28"/>
        </w:rPr>
        <w:t>О местном государственном управлении и самосамоуправлении в Республике Казахстан</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Казахстан–Министра сельского хозяйства Республики Казахстан от 24 апреля 2017 года № 173 "Об утверждений Правил рационального использования пастбищ" (зарегестрирован в Министерстве юстиций Республики Казахстан 28 апреля 2017 года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аперля 2015 года № 3-3/332 "Об утверждений предельно допустимой нормы нагрузки на общую площадь пасбищ" "зарегестрирован в Министерстве юстиций Республики Казахстан 15 мая 2015 года № 11064).</w:t>
      </w:r>
    </w:p>
    <w:bookmarkEnd w:id="4"/>
    <w:bookmarkStart w:name="z12" w:id="5"/>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деградаций пасбищ.</w:t>
      </w:r>
    </w:p>
    <w:bookmarkEnd w:id="5"/>
    <w:bookmarkStart w:name="z13" w:id="6"/>
    <w:p>
      <w:pPr>
        <w:spacing w:after="0"/>
        <w:ind w:left="0"/>
        <w:jc w:val="both"/>
      </w:pPr>
      <w:r>
        <w:rPr>
          <w:rFonts w:ascii="Times New Roman"/>
          <w:b w:val="false"/>
          <w:i w:val="false"/>
          <w:color w:val="000000"/>
          <w:sz w:val="28"/>
        </w:rPr>
        <w:t>
      План содержит:</w:t>
      </w:r>
    </w:p>
    <w:bookmarkEnd w:id="6"/>
    <w:bookmarkStart w:name="z14" w:id="7"/>
    <w:p>
      <w:pPr>
        <w:spacing w:after="0"/>
        <w:ind w:left="0"/>
        <w:jc w:val="both"/>
      </w:pPr>
      <w:r>
        <w:rPr>
          <w:rFonts w:ascii="Times New Roman"/>
          <w:b w:val="false"/>
          <w:i w:val="false"/>
          <w:color w:val="000000"/>
          <w:sz w:val="28"/>
        </w:rPr>
        <w:t xml:space="preserve">
      1) Схему (карту) расположения пастбищ на территорий административно-территориальной единицы в разрезе категорий земель, собственников земельных участков и землепользователей на оснований првоустанавливающих документов,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настояцему Плану;</w:t>
      </w:r>
    </w:p>
    <w:bookmarkEnd w:id="7"/>
    <w:bookmarkStart w:name="z15" w:id="8"/>
    <w:p>
      <w:pPr>
        <w:spacing w:after="0"/>
        <w:ind w:left="0"/>
        <w:jc w:val="both"/>
      </w:pPr>
      <w:r>
        <w:rPr>
          <w:rFonts w:ascii="Times New Roman"/>
          <w:b w:val="false"/>
          <w:i w:val="false"/>
          <w:color w:val="000000"/>
          <w:sz w:val="28"/>
        </w:rPr>
        <w:t xml:space="preserve">
      2) Приемлемые схемы пастбищеоборотов,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Плану;</w:t>
      </w:r>
    </w:p>
    <w:bookmarkEnd w:id="8"/>
    <w:bookmarkStart w:name="z16" w:id="9"/>
    <w:p>
      <w:pPr>
        <w:spacing w:after="0"/>
        <w:ind w:left="0"/>
        <w:jc w:val="both"/>
      </w:pPr>
      <w:r>
        <w:rPr>
          <w:rFonts w:ascii="Times New Roman"/>
          <w:b w:val="false"/>
          <w:i w:val="false"/>
          <w:color w:val="000000"/>
          <w:sz w:val="28"/>
        </w:rPr>
        <w:t xml:space="preserve">
      3) Карту с обозначением внешних и внутренних границ и площадей пастбищ, в том числе сезонных, объектов пастбищной инфраструктуры,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Плану;</w:t>
      </w:r>
    </w:p>
    <w:bookmarkEnd w:id="9"/>
    <w:bookmarkStart w:name="z17" w:id="10"/>
    <w:p>
      <w:pPr>
        <w:spacing w:after="0"/>
        <w:ind w:left="0"/>
        <w:jc w:val="both"/>
      </w:pPr>
      <w:r>
        <w:rPr>
          <w:rFonts w:ascii="Times New Roman"/>
          <w:b w:val="false"/>
          <w:i w:val="false"/>
          <w:color w:val="000000"/>
          <w:sz w:val="28"/>
        </w:rPr>
        <w:t xml:space="preserve">
      4) Схему доступа пастбищепользователей к водоисточникам (озерам, рекам, прудам, копаниям, оросительным и обводнительным каналам, трубчатым и шахтным колодцам), составленную согласно норме потребления воды,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Плану;</w:t>
      </w:r>
    </w:p>
    <w:bookmarkEnd w:id="10"/>
    <w:bookmarkStart w:name="z18" w:id="11"/>
    <w:p>
      <w:pPr>
        <w:spacing w:after="0"/>
        <w:ind w:left="0"/>
        <w:jc w:val="both"/>
      </w:pPr>
      <w:r>
        <w:rPr>
          <w:rFonts w:ascii="Times New Roman"/>
          <w:b w:val="false"/>
          <w:i w:val="false"/>
          <w:color w:val="000000"/>
          <w:sz w:val="28"/>
        </w:rPr>
        <w:t xml:space="preserve">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Плану;</w:t>
      </w:r>
    </w:p>
    <w:bookmarkEnd w:id="11"/>
    <w:bookmarkStart w:name="z19" w:id="12"/>
    <w:p>
      <w:pPr>
        <w:spacing w:after="0"/>
        <w:ind w:left="0"/>
        <w:jc w:val="both"/>
      </w:pPr>
      <w:r>
        <w:rPr>
          <w:rFonts w:ascii="Times New Roman"/>
          <w:b w:val="false"/>
          <w:i w:val="false"/>
          <w:color w:val="000000"/>
          <w:sz w:val="28"/>
        </w:rPr>
        <w:t xml:space="preserve">
      6) Схему размещения поголовья сельскохозяйственных животных на отгонных пастбищах физических и (или) юридических лиц, у которых отсутствуют пастбища, и перемещения его на предоставляемые пастбища.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Плану;</w:t>
      </w:r>
    </w:p>
    <w:bookmarkEnd w:id="12"/>
    <w:bookmarkStart w:name="z20" w:id="13"/>
    <w:p>
      <w:pPr>
        <w:spacing w:after="0"/>
        <w:ind w:left="0"/>
        <w:jc w:val="both"/>
      </w:pPr>
      <w:r>
        <w:rPr>
          <w:rFonts w:ascii="Times New Roman"/>
          <w:b w:val="false"/>
          <w:i w:val="false"/>
          <w:color w:val="000000"/>
          <w:sz w:val="28"/>
        </w:rPr>
        <w:t xml:space="preserve">
      7) Календарный график по использованию пастбищ, устанавливающий сезонные маршруты выпаса и передвижения сельскохозяйственных животных,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Плану;</w:t>
      </w:r>
    </w:p>
    <w:bookmarkEnd w:id="13"/>
    <w:bookmarkStart w:name="z21" w:id="14"/>
    <w:p>
      <w:pPr>
        <w:spacing w:after="0"/>
        <w:ind w:left="0"/>
        <w:jc w:val="both"/>
      </w:pPr>
      <w:r>
        <w:rPr>
          <w:rFonts w:ascii="Times New Roman"/>
          <w:b w:val="false"/>
          <w:i w:val="false"/>
          <w:color w:val="000000"/>
          <w:sz w:val="28"/>
        </w:rPr>
        <w:t>
      7-1) Карту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bookmarkEnd w:id="14"/>
    <w:bookmarkStart w:name="z22" w:id="15"/>
    <w:p>
      <w:pPr>
        <w:spacing w:after="0"/>
        <w:ind w:left="0"/>
        <w:jc w:val="both"/>
      </w:pPr>
      <w:r>
        <w:rPr>
          <w:rFonts w:ascii="Times New Roman"/>
          <w:b w:val="false"/>
          <w:i w:val="false"/>
          <w:color w:val="000000"/>
          <w:sz w:val="28"/>
        </w:rPr>
        <w:t>
      План принят с учетом сведений о состояний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формирований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юридическими лицами.</w:t>
      </w:r>
    </w:p>
    <w:bookmarkEnd w:id="15"/>
    <w:bookmarkStart w:name="z23" w:id="16"/>
    <w:p>
      <w:pPr>
        <w:spacing w:after="0"/>
        <w:ind w:left="0"/>
        <w:jc w:val="both"/>
      </w:pPr>
      <w:r>
        <w:rPr>
          <w:rFonts w:ascii="Times New Roman"/>
          <w:b w:val="false"/>
          <w:i w:val="false"/>
          <w:color w:val="000000"/>
          <w:sz w:val="28"/>
        </w:rPr>
        <w:t>
      Общая площадь территорий Жетиаральского сельского округа 129282 га, из них пастбищные земли 111943га, орошаемые земли – 2966 га, сенокосные земли – 4442 гектар.</w:t>
      </w:r>
    </w:p>
    <w:bookmarkEnd w:id="16"/>
    <w:bookmarkStart w:name="z24" w:id="17"/>
    <w:p>
      <w:pPr>
        <w:spacing w:after="0"/>
        <w:ind w:left="0"/>
        <w:jc w:val="both"/>
      </w:pPr>
      <w:r>
        <w:rPr>
          <w:rFonts w:ascii="Times New Roman"/>
          <w:b w:val="false"/>
          <w:i w:val="false"/>
          <w:color w:val="000000"/>
          <w:sz w:val="28"/>
        </w:rPr>
        <w:t>
      По категориям земли подразделяются на:</w:t>
      </w:r>
    </w:p>
    <w:bookmarkEnd w:id="17"/>
    <w:bookmarkStart w:name="z25" w:id="18"/>
    <w:p>
      <w:pPr>
        <w:spacing w:after="0"/>
        <w:ind w:left="0"/>
        <w:jc w:val="both"/>
      </w:pPr>
      <w:r>
        <w:rPr>
          <w:rFonts w:ascii="Times New Roman"/>
          <w:b w:val="false"/>
          <w:i w:val="false"/>
          <w:color w:val="000000"/>
          <w:sz w:val="28"/>
        </w:rPr>
        <w:t>
      Земли сельскохозяйственного назначения – 119351 га;</w:t>
      </w:r>
    </w:p>
    <w:bookmarkEnd w:id="18"/>
    <w:bookmarkStart w:name="z26" w:id="19"/>
    <w:p>
      <w:pPr>
        <w:spacing w:after="0"/>
        <w:ind w:left="0"/>
        <w:jc w:val="both"/>
      </w:pPr>
      <w:r>
        <w:rPr>
          <w:rFonts w:ascii="Times New Roman"/>
          <w:b w:val="false"/>
          <w:i w:val="false"/>
          <w:color w:val="000000"/>
          <w:sz w:val="28"/>
        </w:rPr>
        <w:t>
      Земли населенных пунктов – 9931 га;</w:t>
      </w:r>
    </w:p>
    <w:bookmarkEnd w:id="19"/>
    <w:bookmarkStart w:name="z27" w:id="20"/>
    <w:p>
      <w:pPr>
        <w:spacing w:after="0"/>
        <w:ind w:left="0"/>
        <w:jc w:val="both"/>
      </w:pPr>
      <w:r>
        <w:rPr>
          <w:rFonts w:ascii="Times New Roman"/>
          <w:b w:val="false"/>
          <w:i w:val="false"/>
          <w:color w:val="000000"/>
          <w:sz w:val="28"/>
        </w:rPr>
        <w:t>
      В округе действуют 1 ветеринарных пунктов, 1 убойных площадок, 1 скотомогильников.</w:t>
      </w:r>
    </w:p>
    <w:bookmarkEnd w:id="20"/>
    <w:bookmarkStart w:name="z28" w:id="21"/>
    <w:p>
      <w:pPr>
        <w:spacing w:after="0"/>
        <w:ind w:left="0"/>
        <w:jc w:val="both"/>
      </w:pPr>
      <w:r>
        <w:rPr>
          <w:rFonts w:ascii="Times New Roman"/>
          <w:b w:val="false"/>
          <w:i w:val="false"/>
          <w:color w:val="000000"/>
          <w:sz w:val="28"/>
        </w:rPr>
        <w:t xml:space="preserve">
      Во исполнение </w:t>
      </w:r>
      <w:r>
        <w:rPr>
          <w:rFonts w:ascii="Times New Roman"/>
          <w:b w:val="false"/>
          <w:i w:val="false"/>
          <w:color w:val="000000"/>
          <w:sz w:val="28"/>
        </w:rPr>
        <w:t>статьи 13</w:t>
      </w:r>
      <w:r>
        <w:rPr>
          <w:rFonts w:ascii="Times New Roman"/>
          <w:b w:val="false"/>
          <w:i w:val="false"/>
          <w:color w:val="000000"/>
          <w:sz w:val="28"/>
        </w:rPr>
        <w:t xml:space="preserve"> Закона "О пастбищах" для разработки Плана по управлению пастбищами и их исполнению в целях рационального использования пастбищ, устойчивого обеспечения потребности в кормах и предотвращения процессов деградации пастбищ, ГУ "Аппарат Акима Жетиаральского сельского округа Тарбагатайского района" заключило договор с ТОО "ГеоСхема".</w:t>
      </w:r>
    </w:p>
    <w:bookmarkEnd w:id="21"/>
    <w:bookmarkStart w:name="z29" w:id="22"/>
    <w:p>
      <w:pPr>
        <w:spacing w:after="0"/>
        <w:ind w:left="0"/>
        <w:jc w:val="both"/>
      </w:pPr>
      <w:r>
        <w:rPr>
          <w:rFonts w:ascii="Times New Roman"/>
          <w:b w:val="false"/>
          <w:i w:val="false"/>
          <w:color w:val="000000"/>
          <w:sz w:val="28"/>
        </w:rPr>
        <w:t>
      План по управлению пастбищами и их использованию – документ, определяющий и обосновывающий организацию и устройство территории пастбищ на ближайшую перспективу, содержащий комплекс мероприятий, обеспечивающих наиболее оптимальное использование каждого земельного участка с учетом его индивидуальных характеристик (плодородия, технических свойств использования, природно-климатических, экологических и других особенностей).</w:t>
      </w:r>
    </w:p>
    <w:bookmarkEnd w:id="22"/>
    <w:bookmarkStart w:name="z30" w:id="23"/>
    <w:p>
      <w:pPr>
        <w:spacing w:after="0"/>
        <w:ind w:left="0"/>
        <w:jc w:val="both"/>
      </w:pPr>
      <w:r>
        <w:rPr>
          <w:rFonts w:ascii="Times New Roman"/>
          <w:b w:val="false"/>
          <w:i w:val="false"/>
          <w:color w:val="000000"/>
          <w:sz w:val="28"/>
        </w:rPr>
        <w:t>
      Обеспечение в процессе производства сельскохозяйственной продукции максимального эффекта в осуществлении целей землепользования, с учетом охраны земель и оптимального взаимодействия с природными факторами, способами, не приводящими к существенному снижению урожайности и качественному составу травостоя, на основе Плана по управлению пастбищами и их использованию, дающего направление на более рациональную организацию и использование пастбищных угодий в конкретных природно-экономических условиях.</w:t>
      </w:r>
    </w:p>
    <w:bookmarkEnd w:id="23"/>
    <w:bookmarkStart w:name="z31" w:id="24"/>
    <w:p>
      <w:pPr>
        <w:spacing w:after="0"/>
        <w:ind w:left="0"/>
        <w:jc w:val="both"/>
      </w:pPr>
      <w:r>
        <w:rPr>
          <w:rFonts w:ascii="Times New Roman"/>
          <w:b w:val="false"/>
          <w:i w:val="false"/>
          <w:color w:val="000000"/>
          <w:sz w:val="28"/>
        </w:rPr>
        <w:t>
      План по управлению пастбищами и их использованию предусматривает развитие производства и организацию территории пастбищ на ближайшие 2 года и на период до 5-ти лет.</w:t>
      </w:r>
    </w:p>
    <w:bookmarkEnd w:id="24"/>
    <w:bookmarkStart w:name="z32" w:id="25"/>
    <w:p>
      <w:pPr>
        <w:spacing w:after="0"/>
        <w:ind w:left="0"/>
        <w:jc w:val="both"/>
      </w:pPr>
      <w:r>
        <w:rPr>
          <w:rFonts w:ascii="Times New Roman"/>
          <w:b w:val="false"/>
          <w:i w:val="false"/>
          <w:color w:val="000000"/>
          <w:sz w:val="28"/>
        </w:rPr>
        <w:t>
      При разработке и составлении Плана по управлению пастбищами и их использованию использовались следующие материалы:</w:t>
      </w:r>
    </w:p>
    <w:bookmarkEnd w:id="25"/>
    <w:bookmarkStart w:name="z33" w:id="26"/>
    <w:p>
      <w:pPr>
        <w:spacing w:after="0"/>
        <w:ind w:left="0"/>
        <w:jc w:val="both"/>
      </w:pPr>
      <w:r>
        <w:rPr>
          <w:rFonts w:ascii="Times New Roman"/>
          <w:b w:val="false"/>
          <w:i w:val="false"/>
          <w:color w:val="000000"/>
          <w:sz w:val="28"/>
        </w:rPr>
        <w:t>
      - планово картографический M l:25000 аэросъемки 1980г. и дешифровки 1985г.;</w:t>
      </w:r>
    </w:p>
    <w:bookmarkEnd w:id="26"/>
    <w:bookmarkStart w:name="z34" w:id="27"/>
    <w:p>
      <w:pPr>
        <w:spacing w:after="0"/>
        <w:ind w:left="0"/>
        <w:jc w:val="both"/>
      </w:pPr>
      <w:r>
        <w:rPr>
          <w:rFonts w:ascii="Times New Roman"/>
          <w:b w:val="false"/>
          <w:i w:val="false"/>
          <w:color w:val="000000"/>
          <w:sz w:val="28"/>
        </w:rPr>
        <w:t>
      - сведения о наличии скота и птицы, сельскохозяйственной техники и построек в домашних хозяйствах по сельским округам на 01.07. 2021г;</w:t>
      </w:r>
    </w:p>
    <w:bookmarkEnd w:id="27"/>
    <w:bookmarkStart w:name="z35" w:id="28"/>
    <w:p>
      <w:pPr>
        <w:spacing w:after="0"/>
        <w:ind w:left="0"/>
        <w:jc w:val="both"/>
      </w:pPr>
      <w:r>
        <w:rPr>
          <w:rFonts w:ascii="Times New Roman"/>
          <w:b w:val="false"/>
          <w:i w:val="false"/>
          <w:color w:val="000000"/>
          <w:sz w:val="28"/>
        </w:rPr>
        <w:t>
      - материалы геоботанического обследования 1980 г.;</w:t>
      </w:r>
    </w:p>
    <w:bookmarkEnd w:id="28"/>
    <w:bookmarkStart w:name="z36" w:id="29"/>
    <w:p>
      <w:pPr>
        <w:spacing w:after="0"/>
        <w:ind w:left="0"/>
        <w:jc w:val="both"/>
      </w:pPr>
      <w:r>
        <w:rPr>
          <w:rFonts w:ascii="Times New Roman"/>
          <w:b w:val="false"/>
          <w:i w:val="false"/>
          <w:color w:val="000000"/>
          <w:sz w:val="28"/>
        </w:rPr>
        <w:t>
      - инвентаризации обводненных пастбищ 1987 г.;</w:t>
      </w:r>
    </w:p>
    <w:bookmarkEnd w:id="29"/>
    <w:bookmarkStart w:name="z37" w:id="30"/>
    <w:p>
      <w:pPr>
        <w:spacing w:after="0"/>
        <w:ind w:left="0"/>
        <w:jc w:val="both"/>
      </w:pPr>
      <w:r>
        <w:rPr>
          <w:rFonts w:ascii="Times New Roman"/>
          <w:b w:val="false"/>
          <w:i w:val="false"/>
          <w:color w:val="000000"/>
          <w:sz w:val="28"/>
        </w:rPr>
        <w:t>
      При разработке показателей развития производства учитывался: - опыт ведения животноводства в Тарбагатайском районе осуществляющего свою производственную деятельность на основе научно обоснованной зональной системе животноводства.</w:t>
      </w:r>
    </w:p>
    <w:bookmarkEnd w:id="30"/>
    <w:bookmarkStart w:name="z38" w:id="31"/>
    <w:p>
      <w:pPr>
        <w:spacing w:after="0"/>
        <w:ind w:left="0"/>
        <w:jc w:val="both"/>
      </w:pPr>
      <w:r>
        <w:rPr>
          <w:rFonts w:ascii="Times New Roman"/>
          <w:b w:val="false"/>
          <w:i w:val="false"/>
          <w:color w:val="000000"/>
          <w:sz w:val="28"/>
        </w:rPr>
        <w:t>
      План по управлению пастбищами и их использованию состоит:</w:t>
      </w:r>
    </w:p>
    <w:bookmarkEnd w:id="31"/>
    <w:bookmarkStart w:name="z39" w:id="32"/>
    <w:p>
      <w:pPr>
        <w:spacing w:after="0"/>
        <w:ind w:left="0"/>
        <w:jc w:val="both"/>
      </w:pPr>
      <w:r>
        <w:rPr>
          <w:rFonts w:ascii="Times New Roman"/>
          <w:b w:val="false"/>
          <w:i w:val="false"/>
          <w:color w:val="000000"/>
          <w:sz w:val="28"/>
        </w:rPr>
        <w:t xml:space="preserve">
      - текстовая часть </w:t>
      </w:r>
    </w:p>
    <w:bookmarkEnd w:id="32"/>
    <w:bookmarkStart w:name="z40" w:id="33"/>
    <w:p>
      <w:pPr>
        <w:spacing w:after="0"/>
        <w:ind w:left="0"/>
        <w:jc w:val="both"/>
      </w:pPr>
      <w:r>
        <w:rPr>
          <w:rFonts w:ascii="Times New Roman"/>
          <w:b w:val="false"/>
          <w:i w:val="false"/>
          <w:color w:val="000000"/>
          <w:sz w:val="28"/>
        </w:rPr>
        <w:t>
      – пояснительная записка ;</w:t>
      </w:r>
    </w:p>
    <w:bookmarkEnd w:id="33"/>
    <w:bookmarkStart w:name="z41" w:id="34"/>
    <w:p>
      <w:pPr>
        <w:spacing w:after="0"/>
        <w:ind w:left="0"/>
        <w:jc w:val="both"/>
      </w:pPr>
      <w:r>
        <w:rPr>
          <w:rFonts w:ascii="Times New Roman"/>
          <w:b w:val="false"/>
          <w:i w:val="false"/>
          <w:color w:val="000000"/>
          <w:sz w:val="28"/>
        </w:rPr>
        <w:t>
      - карта расположения пастбищ на территории сельского округа в М 1: 50 000;</w:t>
      </w:r>
    </w:p>
    <w:bookmarkEnd w:id="34"/>
    <w:bookmarkStart w:name="z42" w:id="35"/>
    <w:p>
      <w:pPr>
        <w:spacing w:after="0"/>
        <w:ind w:left="0"/>
        <w:jc w:val="both"/>
      </w:pPr>
      <w:r>
        <w:rPr>
          <w:rFonts w:ascii="Times New Roman"/>
          <w:b w:val="false"/>
          <w:i w:val="false"/>
          <w:color w:val="000000"/>
          <w:sz w:val="28"/>
        </w:rPr>
        <w:t>
      - приемлемые схемы пастбищеоборотов;</w:t>
      </w:r>
    </w:p>
    <w:bookmarkEnd w:id="35"/>
    <w:bookmarkStart w:name="z43" w:id="36"/>
    <w:p>
      <w:pPr>
        <w:spacing w:after="0"/>
        <w:ind w:left="0"/>
        <w:jc w:val="both"/>
      </w:pPr>
      <w:r>
        <w:rPr>
          <w:rFonts w:ascii="Times New Roman"/>
          <w:b w:val="false"/>
          <w:i w:val="false"/>
          <w:color w:val="000000"/>
          <w:sz w:val="28"/>
        </w:rPr>
        <w:t>
      - карта внешних и внутренних границ и площадей пастбищ, в том числе сезонных, объектов пастбищной инфраструктуры;</w:t>
      </w:r>
    </w:p>
    <w:bookmarkEnd w:id="36"/>
    <w:bookmarkStart w:name="z44" w:id="37"/>
    <w:p>
      <w:pPr>
        <w:spacing w:after="0"/>
        <w:ind w:left="0"/>
        <w:jc w:val="both"/>
      </w:pPr>
      <w:r>
        <w:rPr>
          <w:rFonts w:ascii="Times New Roman"/>
          <w:b w:val="false"/>
          <w:i w:val="false"/>
          <w:color w:val="000000"/>
          <w:sz w:val="28"/>
        </w:rPr>
        <w:t>
      - схема размещения поголовья сельскохозяйственных животных на отгонных пастбищах физических лиц, не обеспеченных пастбищами, расположенными в сельском округе.</w:t>
      </w:r>
    </w:p>
    <w:bookmarkEnd w:id="37"/>
    <w:bookmarkStart w:name="z45" w:id="38"/>
    <w:p>
      <w:pPr>
        <w:spacing w:after="0"/>
        <w:ind w:left="0"/>
        <w:jc w:val="left"/>
      </w:pPr>
      <w:r>
        <w:rPr>
          <w:rFonts w:ascii="Times New Roman"/>
          <w:b/>
          <w:i w:val="false"/>
          <w:color w:val="000000"/>
        </w:rPr>
        <w:t xml:space="preserve"> 1. ОБЩИЕ СВЕДЕНИЯ</w:t>
      </w:r>
    </w:p>
    <w:bookmarkEnd w:id="38"/>
    <w:bookmarkStart w:name="z46" w:id="39"/>
    <w:p>
      <w:pPr>
        <w:spacing w:after="0"/>
        <w:ind w:left="0"/>
        <w:jc w:val="both"/>
      </w:pPr>
      <w:r>
        <w:rPr>
          <w:rFonts w:ascii="Times New Roman"/>
          <w:b w:val="false"/>
          <w:i w:val="false"/>
          <w:color w:val="000000"/>
          <w:sz w:val="28"/>
        </w:rPr>
        <w:t>
      Жетиаральский сельский округ расположен в центральной части Тарбагатайского района, его площадь 126,9 тысяч га, что составляет 5,34 % от площади района.</w:t>
      </w:r>
    </w:p>
    <w:bookmarkEnd w:id="39"/>
    <w:bookmarkStart w:name="z47" w:id="40"/>
    <w:p>
      <w:pPr>
        <w:spacing w:after="0"/>
        <w:ind w:left="0"/>
        <w:jc w:val="both"/>
      </w:pPr>
      <w:r>
        <w:rPr>
          <w:rFonts w:ascii="Times New Roman"/>
          <w:b w:val="false"/>
          <w:i w:val="false"/>
          <w:color w:val="000000"/>
          <w:sz w:val="28"/>
        </w:rPr>
        <w:t>
      На севере и востоке сельский округ граничит с землями Акжарского и Маныракского сельских округов, на юге граничит с землями КНР, на западе граничит с землями Куйганского сельского округа.</w:t>
      </w:r>
    </w:p>
    <w:bookmarkEnd w:id="40"/>
    <w:bookmarkStart w:name="z48" w:id="41"/>
    <w:p>
      <w:pPr>
        <w:spacing w:after="0"/>
        <w:ind w:left="0"/>
        <w:jc w:val="both"/>
      </w:pPr>
      <w:r>
        <w:rPr>
          <w:rFonts w:ascii="Times New Roman"/>
          <w:b w:val="false"/>
          <w:i w:val="false"/>
          <w:color w:val="000000"/>
          <w:sz w:val="28"/>
        </w:rPr>
        <w:t>
      Центром сельского округа является село Жетиарал расположенное в 98 км от районного центра с. Аксуат.</w:t>
      </w:r>
    </w:p>
    <w:bookmarkEnd w:id="41"/>
    <w:bookmarkStart w:name="z49" w:id="42"/>
    <w:p>
      <w:pPr>
        <w:spacing w:after="0"/>
        <w:ind w:left="0"/>
        <w:jc w:val="both"/>
      </w:pPr>
      <w:r>
        <w:rPr>
          <w:rFonts w:ascii="Times New Roman"/>
          <w:b w:val="false"/>
          <w:i w:val="false"/>
          <w:color w:val="000000"/>
          <w:sz w:val="28"/>
        </w:rPr>
        <w:t>
      Согласно административно-территориальному делению на территория сельского округа расположено 4 сельских населенных пункта: - с.Жетиарал, с.Асусай, с.Жангызтал, с.Камысты.</w:t>
      </w:r>
    </w:p>
    <w:bookmarkEnd w:id="42"/>
    <w:bookmarkStart w:name="z50" w:id="43"/>
    <w:p>
      <w:pPr>
        <w:spacing w:after="0"/>
        <w:ind w:left="0"/>
        <w:jc w:val="both"/>
      </w:pPr>
      <w:r>
        <w:rPr>
          <w:rFonts w:ascii="Times New Roman"/>
          <w:b w:val="false"/>
          <w:i w:val="false"/>
          <w:color w:val="000000"/>
          <w:sz w:val="28"/>
        </w:rPr>
        <w:t>
      Транспортная связь с райцентром осуществляется по автодороге областного значения Аксуат – Карасу - Жетиарал. Дорога по техническому состоянию относится к IV категории с твердым покрытием. Связь с населенными пунктами внутри сельского округа осуществляется по асфальтированным и гравийным межхозяйственным дорогам.</w:t>
      </w:r>
    </w:p>
    <w:bookmarkEnd w:id="43"/>
    <w:bookmarkStart w:name="z51" w:id="44"/>
    <w:p>
      <w:pPr>
        <w:spacing w:after="0"/>
        <w:ind w:left="0"/>
        <w:jc w:val="both"/>
      </w:pPr>
      <w:r>
        <w:rPr>
          <w:rFonts w:ascii="Times New Roman"/>
          <w:b w:val="false"/>
          <w:i w:val="false"/>
          <w:color w:val="000000"/>
          <w:sz w:val="28"/>
        </w:rPr>
        <w:t>
      Основное производственное направление в сельском округе – животноводство в котором преобладают – мясное скотоводство, овцеводство и коневодство. В личных подсобных хозяйствах округа имеется 3925 голов крупного рогатого скота, 1252 головы лошадей и 15248 голов овец и коз.</w:t>
      </w:r>
    </w:p>
    <w:bookmarkEnd w:id="44"/>
    <w:bookmarkStart w:name="z52" w:id="45"/>
    <w:p>
      <w:pPr>
        <w:spacing w:after="0"/>
        <w:ind w:left="0"/>
        <w:jc w:val="left"/>
      </w:pPr>
      <w:r>
        <w:rPr>
          <w:rFonts w:ascii="Times New Roman"/>
          <w:b/>
          <w:i w:val="false"/>
          <w:color w:val="000000"/>
        </w:rPr>
        <w:t xml:space="preserve"> 2. РАСТИТЕЛЬНОСТЬ</w:t>
      </w:r>
    </w:p>
    <w:bookmarkEnd w:id="45"/>
    <w:bookmarkStart w:name="z53" w:id="46"/>
    <w:p>
      <w:pPr>
        <w:spacing w:after="0"/>
        <w:ind w:left="0"/>
        <w:jc w:val="both"/>
      </w:pPr>
      <w:r>
        <w:rPr>
          <w:rFonts w:ascii="Times New Roman"/>
          <w:b w:val="false"/>
          <w:i w:val="false"/>
          <w:color w:val="000000"/>
          <w:sz w:val="28"/>
        </w:rPr>
        <w:t>
      На территории округа выделяются следующие растительные зоны:</w:t>
      </w:r>
    </w:p>
    <w:bookmarkEnd w:id="46"/>
    <w:bookmarkStart w:name="z54" w:id="47"/>
    <w:p>
      <w:pPr>
        <w:spacing w:after="0"/>
        <w:ind w:left="0"/>
        <w:jc w:val="both"/>
      </w:pPr>
      <w:r>
        <w:rPr>
          <w:rFonts w:ascii="Times New Roman"/>
          <w:b w:val="false"/>
          <w:i w:val="false"/>
          <w:color w:val="000000"/>
          <w:sz w:val="28"/>
        </w:rPr>
        <w:t>
      1. Предгорная пустынно-степная зона переходная от степей к пустыням. Характерным для этой зоны является наличие в составе растительности степных ксероморфных дернинных злаков и пустынных ксероморфных кустарничков. Сомкнутость растительности не превышает 30-40%, ее высота до 30-40см. Урожайность сухой растительной массы 3- 4ц/га.</w:t>
      </w:r>
    </w:p>
    <w:bookmarkEnd w:id="47"/>
    <w:bookmarkStart w:name="z55" w:id="48"/>
    <w:p>
      <w:pPr>
        <w:spacing w:after="0"/>
        <w:ind w:left="0"/>
        <w:jc w:val="both"/>
      </w:pPr>
      <w:r>
        <w:rPr>
          <w:rFonts w:ascii="Times New Roman"/>
          <w:b w:val="false"/>
          <w:i w:val="false"/>
          <w:color w:val="000000"/>
          <w:sz w:val="28"/>
        </w:rPr>
        <w:t>
      2. Пустынная зона образуется полынными, полынно-солянковыми и злаково-полынными, отчасти кустарниковыми северными пустынями. В растительном покрове господствуют ксерофиты и галофиты (полынь селетяная, на песках – полынь песчаная и метельчатая), кустарники – саксаул Зайсанский, травянистые своды, солянки качким, полукустарники – ежовник солончаковый, прутняк просторный и др. Сомкнутость растительности не превышает 30-40%, ее высота до 10-30см. Урожайность сухой растительной массы 1- 4ц/га.</w:t>
      </w:r>
    </w:p>
    <w:bookmarkEnd w:id="48"/>
    <w:bookmarkStart w:name="z56" w:id="49"/>
    <w:p>
      <w:pPr>
        <w:spacing w:after="0"/>
        <w:ind w:left="0"/>
        <w:jc w:val="left"/>
      </w:pPr>
      <w:r>
        <w:rPr>
          <w:rFonts w:ascii="Times New Roman"/>
          <w:b/>
          <w:i w:val="false"/>
          <w:color w:val="000000"/>
        </w:rPr>
        <w:t xml:space="preserve"> 3. ОРГАНИЗАЦИЯ ТЕРРИТОРИИ ПАСТБИЩ</w:t>
      </w:r>
    </w:p>
    <w:bookmarkEnd w:id="49"/>
    <w:bookmarkStart w:name="z57" w:id="50"/>
    <w:p>
      <w:pPr>
        <w:spacing w:after="0"/>
        <w:ind w:left="0"/>
        <w:jc w:val="both"/>
      </w:pPr>
      <w:r>
        <w:rPr>
          <w:rFonts w:ascii="Times New Roman"/>
          <w:b w:val="false"/>
          <w:i w:val="false"/>
          <w:color w:val="000000"/>
          <w:sz w:val="28"/>
        </w:rPr>
        <w:t>
      В создании прочной кормовой базы для животноводства и предотвращения процессов деградации пастбищ необходимо правильное использование пастбищ, которые являются одним из основных источников дешевых н питательных кормов.</w:t>
      </w:r>
    </w:p>
    <w:bookmarkEnd w:id="50"/>
    <w:bookmarkStart w:name="z58" w:id="51"/>
    <w:p>
      <w:pPr>
        <w:spacing w:after="0"/>
        <w:ind w:left="0"/>
        <w:jc w:val="both"/>
      </w:pPr>
      <w:r>
        <w:rPr>
          <w:rFonts w:ascii="Times New Roman"/>
          <w:b w:val="false"/>
          <w:i w:val="false"/>
          <w:color w:val="000000"/>
          <w:sz w:val="28"/>
        </w:rPr>
        <w:t>
      Основой рационального использования естественных пастбищ является пастбищеоборот.</w:t>
      </w:r>
    </w:p>
    <w:bookmarkEnd w:id="51"/>
    <w:bookmarkStart w:name="z59" w:id="52"/>
    <w:p>
      <w:pPr>
        <w:spacing w:after="0"/>
        <w:ind w:left="0"/>
        <w:jc w:val="both"/>
      </w:pPr>
      <w:r>
        <w:rPr>
          <w:rFonts w:ascii="Times New Roman"/>
          <w:b w:val="false"/>
          <w:i w:val="false"/>
          <w:color w:val="000000"/>
          <w:sz w:val="28"/>
        </w:rPr>
        <w:t>
      Пастбищоборот - это система использования пастбищ и ухода за ними, направленная на поддержание и увеличение продуктивности травостоя. Система, в которой отдельные приемы использования и ухода чередуются, повторяясь по годам в определенной последовательности. Своевременное стравливание травостоя на определенных типах пастбищ, учитывая особенности вегетации растительности; наименьшее количество затрат на организацию пастбищного хозяйства; правильное размещение пастбищных участков, водоисточников и сведения к минимуму холостых передвижений животных, соблюдение необходимых ветеринарно-профилактических требований.</w:t>
      </w:r>
    </w:p>
    <w:bookmarkEnd w:id="52"/>
    <w:bookmarkStart w:name="z60" w:id="53"/>
    <w:p>
      <w:pPr>
        <w:spacing w:after="0"/>
        <w:ind w:left="0"/>
        <w:jc w:val="both"/>
      </w:pPr>
      <w:r>
        <w:rPr>
          <w:rFonts w:ascii="Times New Roman"/>
          <w:b w:val="false"/>
          <w:i w:val="false"/>
          <w:color w:val="000000"/>
          <w:sz w:val="28"/>
        </w:rPr>
        <w:t>
      Использование пастбищ в системе пастбищеоборотов должно обеспечивать удовлетворение каждой группы животных необходимыми пастбищным кормом, предоставляя периодически отдых сильно сбитым участкам, и, предупреждая таким образом, ухудшение качества травостоя.</w:t>
      </w:r>
    </w:p>
    <w:bookmarkEnd w:id="53"/>
    <w:bookmarkStart w:name="z61" w:id="54"/>
    <w:p>
      <w:pPr>
        <w:spacing w:after="0"/>
        <w:ind w:left="0"/>
        <w:jc w:val="both"/>
      </w:pPr>
      <w:r>
        <w:rPr>
          <w:rFonts w:ascii="Times New Roman"/>
          <w:b w:val="false"/>
          <w:i w:val="false"/>
          <w:color w:val="000000"/>
          <w:sz w:val="28"/>
        </w:rPr>
        <w:t xml:space="preserve">
      Предоставление пастбищам отдых в определенное время сезона – одно из важнейших мероприятий по их улучшению. В течение этого времени растения осеменяются и дают всходы молодых побегов, улучшается ботанический состав растительного покрова. Отдых пастбищ дает заметное увеличение урожайности и полезен для всех видов пастбищ. </w:t>
      </w:r>
    </w:p>
    <w:bookmarkEnd w:id="54"/>
    <w:bookmarkStart w:name="z62" w:id="55"/>
    <w:p>
      <w:pPr>
        <w:spacing w:after="0"/>
        <w:ind w:left="0"/>
        <w:jc w:val="both"/>
      </w:pPr>
      <w:r>
        <w:rPr>
          <w:rFonts w:ascii="Times New Roman"/>
          <w:b w:val="false"/>
          <w:i w:val="false"/>
          <w:color w:val="000000"/>
          <w:sz w:val="28"/>
        </w:rPr>
        <w:t>
      Для различных природных зон и типов пастбищ Казахстана Институтом лугов и пастбищ разработаны соответствующие схемы пастбишеоборота.</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64" w:id="56"/>
    <w:p>
      <w:pPr>
        <w:spacing w:after="0"/>
        <w:ind w:left="0"/>
        <w:jc w:val="left"/>
      </w:pPr>
      <w:r>
        <w:rPr>
          <w:rFonts w:ascii="Times New Roman"/>
          <w:b/>
          <w:i w:val="false"/>
          <w:color w:val="000000"/>
        </w:rPr>
        <w:t xml:space="preserve"> Схема пятипольного пастбищеоборота на весенне-летне-осенних пастбищах</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Лето-осень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Весна-лето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66" w:id="57"/>
    <w:p>
      <w:pPr>
        <w:spacing w:after="0"/>
        <w:ind w:left="0"/>
        <w:jc w:val="left"/>
      </w:pPr>
      <w:r>
        <w:rPr>
          <w:rFonts w:ascii="Times New Roman"/>
          <w:b/>
          <w:i w:val="false"/>
          <w:color w:val="000000"/>
        </w:rPr>
        <w:t xml:space="preserve"> Схема четырехпольного пастбищеоборота на летних пастбищах</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лета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лета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лета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68" w:id="58"/>
    <w:p>
      <w:pPr>
        <w:spacing w:after="0"/>
        <w:ind w:left="0"/>
        <w:jc w:val="left"/>
      </w:pPr>
      <w:r>
        <w:rPr>
          <w:rFonts w:ascii="Times New Roman"/>
          <w:b/>
          <w:i w:val="false"/>
          <w:color w:val="000000"/>
        </w:rPr>
        <w:t xml:space="preserve"> Схема четырехпольного пастбищеоборота на зимних пастбищах</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зимы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зимы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зимы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r>
    </w:tbl>
    <w:bookmarkStart w:name="z69" w:id="59"/>
    <w:p>
      <w:pPr>
        <w:spacing w:after="0"/>
        <w:ind w:left="0"/>
        <w:jc w:val="both"/>
      </w:pPr>
      <w:r>
        <w:rPr>
          <w:rFonts w:ascii="Times New Roman"/>
          <w:b w:val="false"/>
          <w:i w:val="false"/>
          <w:color w:val="000000"/>
          <w:sz w:val="28"/>
        </w:rPr>
        <w:t>
      Площадь пастбищеоборотных участков определяется исходя из продолжительности пастбищного периода, норм пастбищного корма на одну голову и урожайности пастбищ. Средний размер поля пастбищеоборота составляет от 600 до 1500 га. Использование пастбищ в определенной системе пастбищеоборота является важным условием сохранения ботанического состава травостоя и поддержание его природной урожайности.</w:t>
      </w:r>
    </w:p>
    <w:bookmarkEnd w:id="59"/>
    <w:bookmarkStart w:name="z70" w:id="60"/>
    <w:p>
      <w:pPr>
        <w:spacing w:after="0"/>
        <w:ind w:left="0"/>
        <w:jc w:val="both"/>
      </w:pPr>
      <w:r>
        <w:rPr>
          <w:rFonts w:ascii="Times New Roman"/>
          <w:b w:val="false"/>
          <w:i w:val="false"/>
          <w:color w:val="000000"/>
          <w:sz w:val="28"/>
        </w:rPr>
        <w:t>
      Для правильного пастбищного содержания скота, повышения продуктивности, большое значение имеет организация загонной пастьбы.</w:t>
      </w:r>
    </w:p>
    <w:bookmarkEnd w:id="60"/>
    <w:bookmarkStart w:name="z71" w:id="61"/>
    <w:p>
      <w:pPr>
        <w:spacing w:after="0"/>
        <w:ind w:left="0"/>
        <w:jc w:val="both"/>
      </w:pPr>
      <w:r>
        <w:rPr>
          <w:rFonts w:ascii="Times New Roman"/>
          <w:b w:val="false"/>
          <w:i w:val="false"/>
          <w:color w:val="000000"/>
          <w:sz w:val="28"/>
        </w:rPr>
        <w:t>
      Использование пастбищ по загонам предохраняет травостой от вытаптывания, создает возможность отдыха части загона от выпаса на длительный период, что обеспечивает нормальное отрастание травы и повышение продуктивности пастбищ.</w:t>
      </w:r>
    </w:p>
    <w:bookmarkEnd w:id="61"/>
    <w:bookmarkStart w:name="z72" w:id="62"/>
    <w:p>
      <w:pPr>
        <w:spacing w:after="0"/>
        <w:ind w:left="0"/>
        <w:jc w:val="both"/>
      </w:pPr>
      <w:r>
        <w:rPr>
          <w:rFonts w:ascii="Times New Roman"/>
          <w:b w:val="false"/>
          <w:i w:val="false"/>
          <w:color w:val="000000"/>
          <w:sz w:val="28"/>
        </w:rPr>
        <w:t xml:space="preserve">
      Загонная пастьба способствует оздоровлению пастбищ и является профилактическим мероприятием в борьбе с глистными заболеваниями. </w:t>
      </w:r>
    </w:p>
    <w:bookmarkEnd w:id="62"/>
    <w:bookmarkStart w:name="z73" w:id="63"/>
    <w:p>
      <w:pPr>
        <w:spacing w:after="0"/>
        <w:ind w:left="0"/>
        <w:jc w:val="both"/>
      </w:pPr>
      <w:r>
        <w:rPr>
          <w:rFonts w:ascii="Times New Roman"/>
          <w:b w:val="false"/>
          <w:i w:val="false"/>
          <w:color w:val="000000"/>
          <w:sz w:val="28"/>
        </w:rPr>
        <w:t>
      Количество загонов их размер и конфигурация, а также размещение их в границах каждого поля пастбищеоборота зависит от типа пастбищ, вида выпасаемых животных и конкретных организационно-хозяйственных условий.</w:t>
      </w:r>
    </w:p>
    <w:bookmarkEnd w:id="63"/>
    <w:bookmarkStart w:name="z74" w:id="64"/>
    <w:p>
      <w:pPr>
        <w:spacing w:after="0"/>
        <w:ind w:left="0"/>
        <w:jc w:val="both"/>
      </w:pPr>
      <w:r>
        <w:rPr>
          <w:rFonts w:ascii="Times New Roman"/>
          <w:b w:val="false"/>
          <w:i w:val="false"/>
          <w:color w:val="000000"/>
          <w:sz w:val="28"/>
        </w:rPr>
        <w:t>
      Исходя из наличия поголовья животных в домашних хозяйствах на 1 июля 2021 года, по данным предоставленным акимами сельских округов с учетом норм кормления и удельного содержания пастбищного корма в рационе кормления, а также кормоемкости пастбищных угодий, принятых по материалам геоботанического обследования 1987 года, рассчитаны площади пастбищ, необходимых для обеспечения имеющегося поголовья животных пастбищным кормом (таблица 4).</w:t>
      </w:r>
    </w:p>
    <w:bookmarkEnd w:id="64"/>
    <w:bookmarkStart w:name="z75" w:id="65"/>
    <w:p>
      <w:pPr>
        <w:spacing w:after="0"/>
        <w:ind w:left="0"/>
        <w:jc w:val="both"/>
      </w:pPr>
      <w:r>
        <w:rPr>
          <w:rFonts w:ascii="Times New Roman"/>
          <w:b w:val="false"/>
          <w:i w:val="false"/>
          <w:color w:val="000000"/>
          <w:sz w:val="28"/>
        </w:rPr>
        <w:t>
      При закреплении пастбищных угодий за группами и видами животных важное значение имеет наличие водных источников для водопоя. Основная площадь пастбищ обводнена за счет естественных водных источников (водохранилище, озера, реки, ручьи, родники, пруды). Водопой животных осуществляется непосредственно из водных источников, водопойные пункты отсутствуют. Вода во всех источниках хорошего качества, пригодна для водопоя скота. При закреплении пастбищ учитывался предельно допустимый радиус водопоя скота: для овец и коз – 6 км, для коров – 2,5 км, для лошадей – 8 км.</w:t>
      </w:r>
    </w:p>
    <w:bookmarkEnd w:id="65"/>
    <w:bookmarkStart w:name="z76" w:id="66"/>
    <w:p>
      <w:pPr>
        <w:spacing w:after="0"/>
        <w:ind w:left="0"/>
        <w:jc w:val="both"/>
      </w:pPr>
      <w:r>
        <w:rPr>
          <w:rFonts w:ascii="Times New Roman"/>
          <w:b w:val="false"/>
          <w:i w:val="false"/>
          <w:color w:val="000000"/>
          <w:sz w:val="28"/>
        </w:rPr>
        <w:t>
      Кроме того, учтено допустимое поголовье животных, обслуживаемое одним водопойным пунктом: - 250 голов КРС или лошадей, - 2000 голов овец. На рассматриваемой территории имеются трубчатые и шахтные колодцы за счет которых обводнены зимние пастбища.</w:t>
      </w:r>
    </w:p>
    <w:bookmarkEnd w:id="66"/>
    <w:bookmarkStart w:name="z77" w:id="67"/>
    <w:p>
      <w:pPr>
        <w:spacing w:after="0"/>
        <w:ind w:left="0"/>
        <w:jc w:val="both"/>
      </w:pPr>
      <w:r>
        <w:rPr>
          <w:rFonts w:ascii="Times New Roman"/>
          <w:b w:val="false"/>
          <w:i w:val="false"/>
          <w:color w:val="000000"/>
          <w:sz w:val="28"/>
        </w:rPr>
        <w:t>
      В округе, в основном, разводят крупный рогатый скот мясного направления. В мясном скотоводстве принято кормить животных с большим удельным весом пастбищной травы и высококачественного сена, при малых затратах сочных и концентрированных кормов. На хороших пастбищах можно получать на голову средний суточный привес от 700г. и более в зависимости от возраста. Природно-климатическими условиями зоны, структурой и качеством сельскохозяйственных угодий определена стойлово-пастбищная система содержания скота.</w:t>
      </w:r>
    </w:p>
    <w:bookmarkEnd w:id="67"/>
    <w:bookmarkStart w:name="z78" w:id="68"/>
    <w:p>
      <w:pPr>
        <w:spacing w:after="0"/>
        <w:ind w:left="0"/>
        <w:jc w:val="both"/>
      </w:pPr>
      <w:r>
        <w:rPr>
          <w:rFonts w:ascii="Times New Roman"/>
          <w:b w:val="false"/>
          <w:i w:val="false"/>
          <w:color w:val="000000"/>
          <w:sz w:val="28"/>
        </w:rPr>
        <w:t>
      Продолжительность стойлового периода составляет 130-150 дней. Пастбищный период длится 210-230 дней, начинается в начале апреля и заканчивается в конце ноября. На зимний период скот концентрируется на фермах при населенных пунктах и на зимовках.</w:t>
      </w:r>
    </w:p>
    <w:bookmarkEnd w:id="68"/>
    <w:bookmarkStart w:name="z79" w:id="69"/>
    <w:p>
      <w:pPr>
        <w:spacing w:after="0"/>
        <w:ind w:left="0"/>
        <w:jc w:val="both"/>
      </w:pPr>
      <w:r>
        <w:rPr>
          <w:rFonts w:ascii="Times New Roman"/>
          <w:b w:val="false"/>
          <w:i w:val="false"/>
          <w:color w:val="000000"/>
          <w:sz w:val="28"/>
        </w:rPr>
        <w:t>
      Поголовье крупного рогатого скота представлено в основном казахской белоголовой, алатауской породами, а также помесью других пород.</w:t>
      </w:r>
    </w:p>
    <w:bookmarkEnd w:id="69"/>
    <w:bookmarkStart w:name="z80" w:id="70"/>
    <w:p>
      <w:pPr>
        <w:spacing w:after="0"/>
        <w:ind w:left="0"/>
        <w:jc w:val="both"/>
      </w:pPr>
      <w:r>
        <w:rPr>
          <w:rFonts w:ascii="Times New Roman"/>
          <w:b w:val="false"/>
          <w:i w:val="false"/>
          <w:color w:val="000000"/>
          <w:sz w:val="28"/>
        </w:rPr>
        <w:t>
      Коневодство является одной из отраслей животноводства района, источником производства высококачественной и диетической конины, целебного напитка – кумыса, кожевенного сырья. В округе имеется 1252 головы лошадей. Развитию табунного коневодства благоприятствует наличие обширных массивов горных и предгорных пастбищ с богатой по составу и питательности растительностью и источниками водопоя. В хозяйствах района разводят ряд отродий казахской лошади, из них основным является тип "Джабе". Казахская лошадь "Джабе" - крупного и компактного сложения. Система содержания лошадей – конюшенно-пастбищная. Продолжительность пастбищного периода составляет 300-320 дней.</w:t>
      </w:r>
    </w:p>
    <w:bookmarkEnd w:id="70"/>
    <w:bookmarkStart w:name="z81" w:id="71"/>
    <w:p>
      <w:pPr>
        <w:spacing w:after="0"/>
        <w:ind w:left="0"/>
        <w:jc w:val="both"/>
      </w:pPr>
      <w:r>
        <w:rPr>
          <w:rFonts w:ascii="Times New Roman"/>
          <w:b w:val="false"/>
          <w:i w:val="false"/>
          <w:color w:val="000000"/>
          <w:sz w:val="28"/>
        </w:rPr>
        <w:t>
      Овцеводство является одной из основных отраслей животноводства района, источником производства баранины и шерсти, а также кожевенно-шубно-мехового сырья. В округе имеется 15248 голов овец и коз. Исключительная приспособленность овец к суровым пастбищным условиям содержания в сухостепных и полупустынных зонах, высокая шерстная и мясо-сальная продуктивность делают отрасль перспективной в районе. В районе выращивают овец Алтайской и Эдильбаевской пород.</w:t>
      </w:r>
    </w:p>
    <w:bookmarkEnd w:id="71"/>
    <w:bookmarkStart w:name="z82" w:id="72"/>
    <w:p>
      <w:pPr>
        <w:spacing w:after="0"/>
        <w:ind w:left="0"/>
        <w:jc w:val="both"/>
      </w:pPr>
      <w:r>
        <w:rPr>
          <w:rFonts w:ascii="Times New Roman"/>
          <w:b w:val="false"/>
          <w:i w:val="false"/>
          <w:color w:val="000000"/>
          <w:sz w:val="28"/>
        </w:rPr>
        <w:t xml:space="preserve">
      Система содержания овец – полустойловая, при которой овец пасут круглый год, но в зимний и ранневесенний периоды ежедневно подкармливают сеном и концкормами. </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84" w:id="73"/>
    <w:p>
      <w:pPr>
        <w:spacing w:after="0"/>
        <w:ind w:left="0"/>
        <w:jc w:val="left"/>
      </w:pPr>
      <w:r>
        <w:rPr>
          <w:rFonts w:ascii="Times New Roman"/>
          <w:b/>
          <w:i w:val="false"/>
          <w:color w:val="000000"/>
        </w:rPr>
        <w:t xml:space="preserve"> Расчет потребности пастбищ для выпаса сельскохозяйственных животных по сельскому округу</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скота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паст-бищных кормов, ц</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пастбищных кор-мов с 1 га, ц</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пастбищ,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голо-ву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Жетыаральский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овцы, козы лошади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w:t>
            </w:r>
          </w:p>
          <w:p>
            <w:pPr>
              <w:spacing w:after="20"/>
              <w:ind w:left="20"/>
              <w:jc w:val="both"/>
            </w:pPr>
            <w:r>
              <w:rPr>
                <w:rFonts w:ascii="Times New Roman"/>
                <w:b w:val="false"/>
                <w:i w:val="false"/>
                <w:color w:val="000000"/>
                <w:sz w:val="20"/>
              </w:rPr>
              <w:t xml:space="preserve">15248 </w:t>
            </w:r>
          </w:p>
          <w:p>
            <w:pPr>
              <w:spacing w:after="20"/>
              <w:ind w:left="20"/>
              <w:jc w:val="both"/>
            </w:pPr>
            <w:r>
              <w:rPr>
                <w:rFonts w:ascii="Times New Roman"/>
                <w:b w:val="false"/>
                <w:i w:val="false"/>
                <w:color w:val="000000"/>
                <w:sz w:val="20"/>
              </w:rPr>
              <w:t>1252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p>
            <w:pPr>
              <w:spacing w:after="20"/>
              <w:ind w:left="20"/>
              <w:jc w:val="both"/>
            </w:pPr>
            <w:r>
              <w:rPr>
                <w:rFonts w:ascii="Times New Roman"/>
                <w:b w:val="false"/>
                <w:i w:val="false"/>
                <w:color w:val="000000"/>
                <w:sz w:val="20"/>
              </w:rPr>
              <w:t xml:space="preserve">10 </w:t>
            </w:r>
          </w:p>
          <w:p>
            <w:pPr>
              <w:spacing w:after="20"/>
              <w:ind w:left="20"/>
              <w:jc w:val="both"/>
            </w:pPr>
            <w:r>
              <w:rPr>
                <w:rFonts w:ascii="Times New Roman"/>
                <w:b w:val="false"/>
                <w:i w:val="false"/>
                <w:color w:val="000000"/>
                <w:sz w:val="20"/>
              </w:rPr>
              <w:t>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365820</w:t>
            </w:r>
          </w:p>
          <w:p>
            <w:pPr>
              <w:spacing w:after="20"/>
              <w:ind w:left="20"/>
              <w:jc w:val="both"/>
            </w:pPr>
            <w:r>
              <w:rPr>
                <w:rFonts w:ascii="Times New Roman"/>
                <w:b w:val="false"/>
                <w:i w:val="false"/>
                <w:color w:val="000000"/>
                <w:sz w:val="20"/>
              </w:rPr>
              <w:t>157000</w:t>
            </w:r>
          </w:p>
          <w:p>
            <w:pPr>
              <w:spacing w:after="20"/>
              <w:ind w:left="20"/>
              <w:jc w:val="both"/>
            </w:pPr>
            <w:r>
              <w:rPr>
                <w:rFonts w:ascii="Times New Roman"/>
                <w:b w:val="false"/>
                <w:i w:val="false"/>
                <w:color w:val="000000"/>
                <w:sz w:val="20"/>
              </w:rPr>
              <w:t>152480</w:t>
            </w:r>
          </w:p>
          <w:p>
            <w:pPr>
              <w:spacing w:after="20"/>
              <w:ind w:left="20"/>
              <w:jc w:val="both"/>
            </w:pPr>
            <w:r>
              <w:rPr>
                <w:rFonts w:ascii="Times New Roman"/>
                <w:b w:val="false"/>
                <w:i w:val="false"/>
                <w:color w:val="000000"/>
                <w:sz w:val="20"/>
              </w:rPr>
              <w:t>56340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99" w:id="74"/>
    <w:p>
      <w:pPr>
        <w:spacing w:after="0"/>
        <w:ind w:left="0"/>
        <w:jc w:val="left"/>
      </w:pPr>
      <w:r>
        <w:rPr>
          <w:rFonts w:ascii="Times New Roman"/>
          <w:b/>
          <w:i w:val="false"/>
          <w:color w:val="000000"/>
        </w:rPr>
        <w:t xml:space="preserve"> Обеспеченность пастбищами скота по сельскому округу</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скота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(фактич) голов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пастбищ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в границах:</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Недостаток –(излишек +),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Населен-ных пунктов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земель с/х назнач.</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Жетыараль-ский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овцы и козы лошади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w:t>
            </w:r>
          </w:p>
          <w:p>
            <w:pPr>
              <w:spacing w:after="20"/>
              <w:ind w:left="20"/>
              <w:jc w:val="both"/>
            </w:pPr>
            <w:r>
              <w:rPr>
                <w:rFonts w:ascii="Times New Roman"/>
                <w:b w:val="false"/>
                <w:i w:val="false"/>
                <w:color w:val="000000"/>
                <w:sz w:val="20"/>
              </w:rPr>
              <w:t>15248</w:t>
            </w:r>
          </w:p>
          <w:p>
            <w:pPr>
              <w:spacing w:after="20"/>
              <w:ind w:left="20"/>
              <w:jc w:val="both"/>
            </w:pPr>
            <w:r>
              <w:rPr>
                <w:rFonts w:ascii="Times New Roman"/>
                <w:b w:val="false"/>
                <w:i w:val="false"/>
                <w:color w:val="000000"/>
                <w:sz w:val="20"/>
              </w:rPr>
              <w:t>1252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24388</w:t>
            </w:r>
          </w:p>
          <w:p>
            <w:pPr>
              <w:spacing w:after="20"/>
              <w:ind w:left="20"/>
              <w:jc w:val="both"/>
            </w:pPr>
            <w:r>
              <w:rPr>
                <w:rFonts w:ascii="Times New Roman"/>
                <w:b w:val="false"/>
                <w:i w:val="false"/>
                <w:color w:val="000000"/>
                <w:sz w:val="20"/>
              </w:rPr>
              <w:t>10467</w:t>
            </w:r>
          </w:p>
          <w:p>
            <w:pPr>
              <w:spacing w:after="20"/>
              <w:ind w:left="20"/>
              <w:jc w:val="both"/>
            </w:pPr>
            <w:r>
              <w:rPr>
                <w:rFonts w:ascii="Times New Roman"/>
                <w:b w:val="false"/>
                <w:i w:val="false"/>
                <w:color w:val="000000"/>
                <w:sz w:val="20"/>
              </w:rPr>
              <w:t xml:space="preserve">10165 </w:t>
            </w:r>
          </w:p>
          <w:p>
            <w:pPr>
              <w:spacing w:after="20"/>
              <w:ind w:left="20"/>
              <w:jc w:val="both"/>
            </w:pPr>
            <w:r>
              <w:rPr>
                <w:rFonts w:ascii="Times New Roman"/>
                <w:b w:val="false"/>
                <w:i w:val="false"/>
                <w:color w:val="000000"/>
                <w:sz w:val="20"/>
              </w:rPr>
              <w:t>3756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- 13178,1</w:t>
            </w:r>
          </w:p>
        </w:tc>
      </w:tr>
    </w:tbl>
    <w:bookmarkStart w:name="z115" w:id="75"/>
    <w:p>
      <w:pPr>
        <w:spacing w:after="0"/>
        <w:ind w:left="0"/>
        <w:jc w:val="left"/>
      </w:pPr>
      <w:r>
        <w:rPr>
          <w:rFonts w:ascii="Times New Roman"/>
          <w:b/>
          <w:i w:val="false"/>
          <w:color w:val="000000"/>
        </w:rPr>
        <w:t xml:space="preserve"> 6. ПРИРОДООХРАННЫЕ МЕРОПРИЯТИЯ</w:t>
      </w:r>
    </w:p>
    <w:bookmarkEnd w:id="75"/>
    <w:bookmarkStart w:name="z116" w:id="76"/>
    <w:p>
      <w:pPr>
        <w:spacing w:after="0"/>
        <w:ind w:left="0"/>
        <w:jc w:val="both"/>
      </w:pPr>
      <w:r>
        <w:rPr>
          <w:rFonts w:ascii="Times New Roman"/>
          <w:b w:val="false"/>
          <w:i w:val="false"/>
          <w:color w:val="000000"/>
          <w:sz w:val="28"/>
        </w:rPr>
        <w:t>
      Охрана природы является одной из основных экономических проблем рационального использования земель, сохранения и повышения плодородия почвы. Одним из главных факторов, разрушающих почвенные покровы, являются эрозионные процессы.</w:t>
      </w:r>
    </w:p>
    <w:bookmarkEnd w:id="76"/>
    <w:bookmarkStart w:name="z117" w:id="77"/>
    <w:p>
      <w:pPr>
        <w:spacing w:after="0"/>
        <w:ind w:left="0"/>
        <w:jc w:val="both"/>
      </w:pPr>
      <w:r>
        <w:rPr>
          <w:rFonts w:ascii="Times New Roman"/>
          <w:b w:val="false"/>
          <w:i w:val="false"/>
          <w:color w:val="000000"/>
          <w:sz w:val="28"/>
        </w:rPr>
        <w:t>
      Эрозия почв – это результат сложного взаимодействия природных и экономических факторов. Среди природных факторов, влияющих на развитие процессов эрозии, важнейшими являются рельеф местности, особенности почвенного покрова, растительность и климатические условия.</w:t>
      </w:r>
    </w:p>
    <w:bookmarkEnd w:id="77"/>
    <w:bookmarkStart w:name="z118" w:id="78"/>
    <w:p>
      <w:pPr>
        <w:spacing w:after="0"/>
        <w:ind w:left="0"/>
        <w:jc w:val="both"/>
      </w:pPr>
      <w:r>
        <w:rPr>
          <w:rFonts w:ascii="Times New Roman"/>
          <w:b w:val="false"/>
          <w:i w:val="false"/>
          <w:color w:val="000000"/>
          <w:sz w:val="28"/>
        </w:rPr>
        <w:t>
      Экономический фактор – это хозяйственная деятельность человека, его воздействие на землю. К ним относится: расположение границ и других линейных элементов территории без учета рельефа, распашка эрозионно-опасных земель, определение состава культур в севооборотах, обработка полей без учета рельефа, бессистемное использование пастбищ, несоблюдение комплекса противоэрозионных мероприятий.</w:t>
      </w:r>
    </w:p>
    <w:bookmarkEnd w:id="78"/>
    <w:bookmarkStart w:name="z119" w:id="79"/>
    <w:p>
      <w:pPr>
        <w:spacing w:after="0"/>
        <w:ind w:left="0"/>
        <w:jc w:val="both"/>
      </w:pPr>
      <w:r>
        <w:rPr>
          <w:rFonts w:ascii="Times New Roman"/>
          <w:b w:val="false"/>
          <w:i w:val="false"/>
          <w:color w:val="000000"/>
          <w:sz w:val="28"/>
        </w:rPr>
        <w:t>
      Основной задачей противоэрозионной организации территории является создание условий для прекращения, ослабления и предотвращения эрозионных процессов. Это достигается посевом многолетних трав на участках с изреженным травостоем. Почвы, занятые многолетними травами, почти не подвергаются водной эрозии. На участках подверженным эрозионным процессам необходимо строгое нормирование выпаса животных (особенно в весенний период); недопущению оголения площадей; проведению работ по травосеянию с улучшением состава кормовых трав.</w:t>
      </w:r>
    </w:p>
    <w:bookmarkEnd w:id="79"/>
    <w:bookmarkStart w:name="z120" w:id="80"/>
    <w:p>
      <w:pPr>
        <w:spacing w:after="0"/>
        <w:ind w:left="0"/>
        <w:jc w:val="left"/>
      </w:pPr>
      <w:r>
        <w:rPr>
          <w:rFonts w:ascii="Times New Roman"/>
          <w:b/>
          <w:i w:val="false"/>
          <w:color w:val="000000"/>
        </w:rPr>
        <w:t xml:space="preserve"> 7. Территория с особым режимом использования земель</w:t>
      </w:r>
    </w:p>
    <w:bookmarkEnd w:id="80"/>
    <w:bookmarkStart w:name="z121" w:id="81"/>
    <w:p>
      <w:pPr>
        <w:spacing w:after="0"/>
        <w:ind w:left="0"/>
        <w:jc w:val="both"/>
      </w:pPr>
      <w:r>
        <w:rPr>
          <w:rFonts w:ascii="Times New Roman"/>
          <w:b w:val="false"/>
          <w:i w:val="false"/>
          <w:color w:val="000000"/>
          <w:sz w:val="28"/>
        </w:rPr>
        <w:t>
      В соответствии с Правилами установления водоохранных зон и полос, утвержденных Приказом Заместителя Премьер-Министра Республики Казахстан- Министра сельского хозяйства Республики Казахстан от 6 сентября 2017 года № 379, настоящим проектом даны рекомендации по водоохранным зонам (ВЗ) и водоохранным полосам (ВП).</w:t>
      </w:r>
    </w:p>
    <w:bookmarkEnd w:id="81"/>
    <w:bookmarkStart w:name="z122" w:id="82"/>
    <w:p>
      <w:pPr>
        <w:spacing w:after="0"/>
        <w:ind w:left="0"/>
        <w:jc w:val="both"/>
      </w:pPr>
      <w:r>
        <w:rPr>
          <w:rFonts w:ascii="Times New Roman"/>
          <w:b w:val="false"/>
          <w:i w:val="false"/>
          <w:color w:val="000000"/>
          <w:sz w:val="28"/>
        </w:rPr>
        <w:t>
      Водоохранные зоны и полосы и режим их хозяйственной деятельности устанавливается местным исполнительным органом области на основании утвержденной проектной документации, по согласованию с уполномоченным органом в области использования и охраны водного фонда, водоснабжения, водоотведения, уполномоченным органом в области санитарно-эпидемиологического благополучия, уполномоченным государственным органом в области охраны окружающей среды, для предотвращения загрязнения, истощения и поддержки водных объектов в состоянии, соответствующем санитарным и экологическим нормам и требованиям, а также сохранение растительного и животного мира.</w:t>
      </w:r>
    </w:p>
    <w:bookmarkEnd w:id="82"/>
    <w:bookmarkStart w:name="z123" w:id="83"/>
    <w:p>
      <w:pPr>
        <w:spacing w:after="0"/>
        <w:ind w:left="0"/>
        <w:jc w:val="both"/>
      </w:pPr>
      <w:r>
        <w:rPr>
          <w:rFonts w:ascii="Times New Roman"/>
          <w:b w:val="false"/>
          <w:i w:val="false"/>
          <w:color w:val="000000"/>
          <w:sz w:val="28"/>
        </w:rPr>
        <w:t xml:space="preserve">
      В соответствии с требованиями </w:t>
      </w:r>
      <w:r>
        <w:rPr>
          <w:rFonts w:ascii="Times New Roman"/>
          <w:b w:val="false"/>
          <w:i w:val="false"/>
          <w:color w:val="000000"/>
          <w:sz w:val="28"/>
        </w:rPr>
        <w:t>статьи 125</w:t>
      </w:r>
      <w:r>
        <w:rPr>
          <w:rFonts w:ascii="Times New Roman"/>
          <w:b w:val="false"/>
          <w:i w:val="false"/>
          <w:color w:val="000000"/>
          <w:sz w:val="28"/>
        </w:rPr>
        <w:t xml:space="preserve"> Водного Кодекса Республики Казахстан в пределах водоохраной полосы запрещается:</w:t>
      </w:r>
    </w:p>
    <w:bookmarkEnd w:id="83"/>
    <w:bookmarkStart w:name="z124" w:id="84"/>
    <w:p>
      <w:pPr>
        <w:spacing w:after="0"/>
        <w:ind w:left="0"/>
        <w:jc w:val="both"/>
      </w:pPr>
      <w:r>
        <w:rPr>
          <w:rFonts w:ascii="Times New Roman"/>
          <w:b w:val="false"/>
          <w:i w:val="false"/>
          <w:color w:val="000000"/>
          <w:sz w:val="28"/>
        </w:rPr>
        <w:t>
      - хозяйственная и иная деятельность, ухудшающая качественное и гидрологическое состояние (загрязнение, засорение, истощение) водных объектов;</w:t>
      </w:r>
    </w:p>
    <w:bookmarkEnd w:id="84"/>
    <w:bookmarkStart w:name="z125" w:id="85"/>
    <w:p>
      <w:pPr>
        <w:spacing w:after="0"/>
        <w:ind w:left="0"/>
        <w:jc w:val="both"/>
      </w:pPr>
      <w:r>
        <w:rPr>
          <w:rFonts w:ascii="Times New Roman"/>
          <w:b w:val="false"/>
          <w:i w:val="false"/>
          <w:color w:val="000000"/>
          <w:sz w:val="28"/>
        </w:rPr>
        <w:t>
      - строительство и эксплуатация зданий и сооружений, за исключением водохозяйственных и водозаборных сооружений и их коммуникаций, мостов, мостовых сооружений, причалов, портов, пирсов и иных объектов транспортной инфраструктуры, связанных с деятельностью водного транспорта, а также рекреационных зон на водном объекте;</w:t>
      </w:r>
    </w:p>
    <w:bookmarkEnd w:id="85"/>
    <w:bookmarkStart w:name="z126" w:id="86"/>
    <w:p>
      <w:pPr>
        <w:spacing w:after="0"/>
        <w:ind w:left="0"/>
        <w:jc w:val="both"/>
      </w:pPr>
      <w:r>
        <w:rPr>
          <w:rFonts w:ascii="Times New Roman"/>
          <w:b w:val="false"/>
          <w:i w:val="false"/>
          <w:color w:val="000000"/>
          <w:sz w:val="28"/>
        </w:rPr>
        <w:t>
      - эксплуатация существующих объектов, не обеспеченных сооружениями и устройствами, предотвращающими загрязнение водных объектов и их водоохранных зон и полос;</w:t>
      </w:r>
    </w:p>
    <w:bookmarkEnd w:id="86"/>
    <w:bookmarkStart w:name="z127" w:id="87"/>
    <w:p>
      <w:pPr>
        <w:spacing w:after="0"/>
        <w:ind w:left="0"/>
        <w:jc w:val="both"/>
      </w:pPr>
      <w:r>
        <w:rPr>
          <w:rFonts w:ascii="Times New Roman"/>
          <w:b w:val="false"/>
          <w:i w:val="false"/>
          <w:color w:val="000000"/>
          <w:sz w:val="28"/>
        </w:rPr>
        <w:t>
      - проведение работ, нарушающих почвенный и травяной покров (в том числе распашка земель, выпас скота, добыча полезных ископаемых), за исключением обработки земель для залужения отдельных участков, посева и посадки леса;</w:t>
      </w:r>
    </w:p>
    <w:bookmarkEnd w:id="87"/>
    <w:bookmarkStart w:name="z128" w:id="88"/>
    <w:p>
      <w:pPr>
        <w:spacing w:after="0"/>
        <w:ind w:left="0"/>
        <w:jc w:val="both"/>
      </w:pPr>
      <w:r>
        <w:rPr>
          <w:rFonts w:ascii="Times New Roman"/>
          <w:b w:val="false"/>
          <w:i w:val="false"/>
          <w:color w:val="000000"/>
          <w:sz w:val="28"/>
        </w:rPr>
        <w:t xml:space="preserve">
      - устройство палаточных городков, постоянных стоянок для транспортных средств, летних лагерей для скота; </w:t>
      </w:r>
    </w:p>
    <w:bookmarkEnd w:id="88"/>
    <w:bookmarkStart w:name="z129" w:id="89"/>
    <w:p>
      <w:pPr>
        <w:spacing w:after="0"/>
        <w:ind w:left="0"/>
        <w:jc w:val="both"/>
      </w:pPr>
      <w:r>
        <w:rPr>
          <w:rFonts w:ascii="Times New Roman"/>
          <w:b w:val="false"/>
          <w:i w:val="false"/>
          <w:color w:val="000000"/>
          <w:sz w:val="28"/>
        </w:rPr>
        <w:t>
      - применение всех видов удобрений.</w:t>
      </w:r>
    </w:p>
    <w:bookmarkEnd w:id="89"/>
    <w:bookmarkStart w:name="z130" w:id="90"/>
    <w:p>
      <w:pPr>
        <w:spacing w:after="0"/>
        <w:ind w:left="0"/>
        <w:jc w:val="both"/>
      </w:pPr>
      <w:r>
        <w:rPr>
          <w:rFonts w:ascii="Times New Roman"/>
          <w:b w:val="false"/>
          <w:i w:val="false"/>
          <w:color w:val="000000"/>
          <w:sz w:val="28"/>
        </w:rPr>
        <w:t>
      в пределах водоохранных зон запрещается:</w:t>
      </w:r>
    </w:p>
    <w:bookmarkEnd w:id="90"/>
    <w:bookmarkStart w:name="z131" w:id="91"/>
    <w:p>
      <w:pPr>
        <w:spacing w:after="0"/>
        <w:ind w:left="0"/>
        <w:jc w:val="both"/>
      </w:pPr>
      <w:r>
        <w:rPr>
          <w:rFonts w:ascii="Times New Roman"/>
          <w:b w:val="false"/>
          <w:i w:val="false"/>
          <w:color w:val="000000"/>
          <w:sz w:val="28"/>
        </w:rPr>
        <w:t>
      - ввод в эксплуатацию новых и реконструированных объектов, не обеспеченных сооружениями и устройствами, предотвращающими загрязнение и засорение водных объектов и их водоохранных зон и полос;</w:t>
      </w:r>
    </w:p>
    <w:bookmarkEnd w:id="91"/>
    <w:bookmarkStart w:name="z132" w:id="92"/>
    <w:p>
      <w:pPr>
        <w:spacing w:after="0"/>
        <w:ind w:left="0"/>
        <w:jc w:val="both"/>
      </w:pPr>
      <w:r>
        <w:rPr>
          <w:rFonts w:ascii="Times New Roman"/>
          <w:b w:val="false"/>
          <w:i w:val="false"/>
          <w:color w:val="000000"/>
          <w:sz w:val="28"/>
        </w:rPr>
        <w:t>
      - проведение реконструкции зданий, сооружений, коммуникаций и других объектов, а также производство строительных, дноуглубительных и взрывных работ, добыча полезных ископаемых, прокладка кабелей, трубопроводов и других коммуникаций, буровых, земельных и иных работ без проектов, согласованных в установленном порядке с местными исполнительными органами, уполномоченным органом, уполномоченным государственным органом в области охраны окружающей среды, центральным уполномоченным органом по управлению земельными ресурсами, уполномоченными органами в области энергоснабжения и санитарно-эпидемиологического благополучия населения и другими заинтересованными органами;</w:t>
      </w:r>
    </w:p>
    <w:bookmarkEnd w:id="92"/>
    <w:bookmarkStart w:name="z133" w:id="93"/>
    <w:p>
      <w:pPr>
        <w:spacing w:after="0"/>
        <w:ind w:left="0"/>
        <w:jc w:val="both"/>
      </w:pPr>
      <w:r>
        <w:rPr>
          <w:rFonts w:ascii="Times New Roman"/>
          <w:b w:val="false"/>
          <w:i w:val="false"/>
          <w:color w:val="000000"/>
          <w:sz w:val="28"/>
        </w:rPr>
        <w:t>
      - размещение и строительство складов для хранения удобрений, пестицидов, ядохимикатов и нефтепродуктов, пунктов технического обслуживания, мойки транспортных средств и сельскохозяйственной техники, механических мастерских, устройство свалок бытовых и промышленных отходов, площадок для заправки аппаратуры пестицидами и ядохимикатами, взлетно-посадочных полос для проведения авиационно-химических работ, а также размещение других объектов, отрицательно влияющих на качество воды;</w:t>
      </w:r>
    </w:p>
    <w:bookmarkEnd w:id="93"/>
    <w:bookmarkStart w:name="z134" w:id="94"/>
    <w:p>
      <w:pPr>
        <w:spacing w:after="0"/>
        <w:ind w:left="0"/>
        <w:jc w:val="both"/>
      </w:pPr>
      <w:r>
        <w:rPr>
          <w:rFonts w:ascii="Times New Roman"/>
          <w:b w:val="false"/>
          <w:i w:val="false"/>
          <w:color w:val="000000"/>
          <w:sz w:val="28"/>
        </w:rPr>
        <w:t>
      - размещение животноводческих ферм и комплексов, накопителей сточных вод, полей орошения сточными водами, кладбищ, скотомогильников, а также других объектов обусловливающих опасность микробного загрязнения поверхностных и подземных вод;</w:t>
      </w:r>
    </w:p>
    <w:bookmarkEnd w:id="94"/>
    <w:bookmarkStart w:name="z135" w:id="95"/>
    <w:p>
      <w:pPr>
        <w:spacing w:after="0"/>
        <w:ind w:left="0"/>
        <w:jc w:val="both"/>
      </w:pPr>
      <w:r>
        <w:rPr>
          <w:rFonts w:ascii="Times New Roman"/>
          <w:b w:val="false"/>
          <w:i w:val="false"/>
          <w:color w:val="000000"/>
          <w:sz w:val="28"/>
        </w:rPr>
        <w:t>
      - выпас скота с превышением нормы нагрузки, купание и санитарная обработка скота и другие виды хозяйственной деятельности, ухудшающие режим водоемов;</w:t>
      </w:r>
    </w:p>
    <w:bookmarkEnd w:id="95"/>
    <w:bookmarkStart w:name="z136" w:id="96"/>
    <w:p>
      <w:pPr>
        <w:spacing w:after="0"/>
        <w:ind w:left="0"/>
        <w:jc w:val="both"/>
      </w:pPr>
      <w:r>
        <w:rPr>
          <w:rFonts w:ascii="Times New Roman"/>
          <w:b w:val="false"/>
          <w:i w:val="false"/>
          <w:color w:val="000000"/>
          <w:sz w:val="28"/>
        </w:rPr>
        <w:t>
      - применение способа авиа обработки ядохимикатами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w:t>
      </w:r>
    </w:p>
    <w:bookmarkEnd w:id="96"/>
    <w:bookmarkStart w:name="z137" w:id="97"/>
    <w:p>
      <w:pPr>
        <w:spacing w:after="0"/>
        <w:ind w:left="0"/>
        <w:jc w:val="both"/>
      </w:pPr>
      <w:r>
        <w:rPr>
          <w:rFonts w:ascii="Times New Roman"/>
          <w:b w:val="false"/>
          <w:i w:val="false"/>
          <w:color w:val="000000"/>
          <w:sz w:val="28"/>
        </w:rPr>
        <w:t>
      - применение пестицидов, на которые не установлены предельно допустимые концентрации, внесение удобрений по снежному покрову, а также использование в качестве удобрений не обезвреженных навозосодержаших сточных вод и стойких хлорорганических ядохимикатов. При необходимости проведения вынужденной санитарной обработки в водоохраной зоне допускается применение мало- и среднетоксичных нестойких пестицидов;</w:t>
      </w:r>
    </w:p>
    <w:bookmarkEnd w:id="97"/>
    <w:bookmarkStart w:name="z138" w:id="98"/>
    <w:p>
      <w:pPr>
        <w:spacing w:after="0"/>
        <w:ind w:left="0"/>
        <w:jc w:val="both"/>
      </w:pPr>
      <w:r>
        <w:rPr>
          <w:rFonts w:ascii="Times New Roman"/>
          <w:b w:val="false"/>
          <w:i w:val="false"/>
          <w:color w:val="000000"/>
          <w:sz w:val="28"/>
        </w:rPr>
        <w:t>
      Водопой скота необходимо осуществлять на водопойных площадках водных источников и каптированных родников с соблюдением санитарных норм. Для улучшения санитарных условий насаленных пунктов необходимо строительство специальных площадок для склада навоза и отходов животноводческих ферм, строительство мест для свалок бытовых отходов, создавать специальные места для мойки техники, создавать земляные валы в местах хранения горюче смазочных материалов.</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плану по </w:t>
            </w:r>
            <w:r>
              <w:br/>
            </w:r>
            <w:r>
              <w:rPr>
                <w:rFonts w:ascii="Times New Roman"/>
                <w:b w:val="false"/>
                <w:i w:val="false"/>
                <w:color w:val="000000"/>
                <w:sz w:val="20"/>
              </w:rPr>
              <w:t xml:space="preserve">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Жетиаралском сельском </w:t>
            </w:r>
            <w:r>
              <w:br/>
            </w:r>
            <w:r>
              <w:rPr>
                <w:rFonts w:ascii="Times New Roman"/>
                <w:b w:val="false"/>
                <w:i w:val="false"/>
                <w:color w:val="000000"/>
                <w:sz w:val="20"/>
              </w:rPr>
              <w:t xml:space="preserve">округе </w:t>
            </w:r>
            <w:r>
              <w:br/>
            </w:r>
            <w:r>
              <w:rPr>
                <w:rFonts w:ascii="Times New Roman"/>
                <w:b w:val="false"/>
                <w:i w:val="false"/>
                <w:color w:val="000000"/>
                <w:sz w:val="20"/>
              </w:rPr>
              <w:t>на 2022-2023 годы</w:t>
            </w:r>
          </w:p>
        </w:tc>
      </w:tr>
    </w:tbl>
    <w:bookmarkStart w:name="z140" w:id="99"/>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по Тарбагатайскому району Жетиаралскому сельскому округу собственников земельных участков и землепользователей на основании правоустанавливающих документов</w:t>
      </w:r>
    </w:p>
    <w:bookmarkEnd w:id="99"/>
    <w:bookmarkStart w:name="z141" w:id="100"/>
    <w:p>
      <w:pPr>
        <w:spacing w:after="0"/>
        <w:ind w:left="0"/>
        <w:jc w:val="both"/>
      </w:pPr>
      <w:r>
        <w:rPr>
          <w:rFonts w:ascii="Times New Roman"/>
          <w:b w:val="false"/>
          <w:i w:val="false"/>
          <w:color w:val="000000"/>
          <w:sz w:val="28"/>
        </w:rPr>
        <w:t xml:space="preserve">
      </w:t>
      </w:r>
    </w:p>
    <w:bookmarkEnd w:id="100"/>
    <w:p>
      <w:pPr>
        <w:spacing w:after="0"/>
        <w:ind w:left="0"/>
        <w:jc w:val="both"/>
      </w:pPr>
      <w:r>
        <w:drawing>
          <wp:inline distT="0" distB="0" distL="0" distR="0">
            <wp:extent cx="7810500" cy="1106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06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плану по </w:t>
            </w:r>
            <w:r>
              <w:br/>
            </w:r>
            <w:r>
              <w:rPr>
                <w:rFonts w:ascii="Times New Roman"/>
                <w:b w:val="false"/>
                <w:i w:val="false"/>
                <w:color w:val="000000"/>
                <w:sz w:val="20"/>
              </w:rPr>
              <w:t xml:space="preserve">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Жетиаралском сельском </w:t>
            </w:r>
            <w:r>
              <w:br/>
            </w:r>
            <w:r>
              <w:rPr>
                <w:rFonts w:ascii="Times New Roman"/>
                <w:b w:val="false"/>
                <w:i w:val="false"/>
                <w:color w:val="000000"/>
                <w:sz w:val="20"/>
              </w:rPr>
              <w:t>округе на 2022-2023 годы</w:t>
            </w:r>
          </w:p>
        </w:tc>
      </w:tr>
    </w:tbl>
    <w:bookmarkStart w:name="z143" w:id="101"/>
    <w:p>
      <w:pPr>
        <w:spacing w:after="0"/>
        <w:ind w:left="0"/>
        <w:jc w:val="left"/>
      </w:pPr>
      <w:r>
        <w:rPr>
          <w:rFonts w:ascii="Times New Roman"/>
          <w:b/>
          <w:i w:val="false"/>
          <w:color w:val="000000"/>
        </w:rPr>
        <w:t xml:space="preserve"> Приемлемые схемы пастбищеоборотов</w:t>
      </w:r>
    </w:p>
    <w:bookmarkEnd w:id="101"/>
    <w:bookmarkStart w:name="z144" w:id="102"/>
    <w:p>
      <w:pPr>
        <w:spacing w:after="0"/>
        <w:ind w:left="0"/>
        <w:jc w:val="both"/>
      </w:pPr>
      <w:r>
        <w:rPr>
          <w:rFonts w:ascii="Times New Roman"/>
          <w:b w:val="false"/>
          <w:i w:val="false"/>
          <w:color w:val="000000"/>
          <w:sz w:val="28"/>
        </w:rPr>
        <w:t xml:space="preserve">
      </w:t>
      </w:r>
    </w:p>
    <w:bookmarkEnd w:id="102"/>
    <w:p>
      <w:pPr>
        <w:spacing w:after="0"/>
        <w:ind w:left="0"/>
        <w:jc w:val="both"/>
      </w:pPr>
      <w:r>
        <w:drawing>
          <wp:inline distT="0" distB="0" distL="0" distR="0">
            <wp:extent cx="7810500" cy="1106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06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плану по </w:t>
            </w:r>
            <w:r>
              <w:br/>
            </w:r>
            <w:r>
              <w:rPr>
                <w:rFonts w:ascii="Times New Roman"/>
                <w:b w:val="false"/>
                <w:i w:val="false"/>
                <w:color w:val="000000"/>
                <w:sz w:val="20"/>
              </w:rPr>
              <w:t xml:space="preserve">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Жетиаралском сельском </w:t>
            </w:r>
            <w:r>
              <w:br/>
            </w:r>
            <w:r>
              <w:rPr>
                <w:rFonts w:ascii="Times New Roman"/>
                <w:b w:val="false"/>
                <w:i w:val="false"/>
                <w:color w:val="000000"/>
                <w:sz w:val="20"/>
              </w:rPr>
              <w:t xml:space="preserve">округе </w:t>
            </w:r>
            <w:r>
              <w:br/>
            </w:r>
            <w:r>
              <w:rPr>
                <w:rFonts w:ascii="Times New Roman"/>
                <w:b w:val="false"/>
                <w:i w:val="false"/>
                <w:color w:val="000000"/>
                <w:sz w:val="20"/>
              </w:rPr>
              <w:t>на 2022-2023 годы</w:t>
            </w:r>
          </w:p>
        </w:tc>
      </w:tr>
    </w:tbl>
    <w:bookmarkStart w:name="z146" w:id="103"/>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103"/>
    <w:bookmarkStart w:name="z147" w:id="104"/>
    <w:p>
      <w:pPr>
        <w:spacing w:after="0"/>
        <w:ind w:left="0"/>
        <w:jc w:val="both"/>
      </w:pPr>
      <w:r>
        <w:rPr>
          <w:rFonts w:ascii="Times New Roman"/>
          <w:b w:val="false"/>
          <w:i w:val="false"/>
          <w:color w:val="000000"/>
          <w:sz w:val="28"/>
        </w:rPr>
        <w:t xml:space="preserve">
      </w:t>
      </w:r>
    </w:p>
    <w:bookmarkEnd w:id="104"/>
    <w:p>
      <w:pPr>
        <w:spacing w:after="0"/>
        <w:ind w:left="0"/>
        <w:jc w:val="both"/>
      </w:pPr>
      <w:r>
        <w:drawing>
          <wp:inline distT="0" distB="0" distL="0" distR="0">
            <wp:extent cx="7810500" cy="1106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06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плану по </w:t>
            </w:r>
            <w:r>
              <w:br/>
            </w:r>
            <w:r>
              <w:rPr>
                <w:rFonts w:ascii="Times New Roman"/>
                <w:b w:val="false"/>
                <w:i w:val="false"/>
                <w:color w:val="000000"/>
                <w:sz w:val="20"/>
              </w:rPr>
              <w:t xml:space="preserve">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Жетиаралском сельском </w:t>
            </w:r>
            <w:r>
              <w:br/>
            </w:r>
            <w:r>
              <w:rPr>
                <w:rFonts w:ascii="Times New Roman"/>
                <w:b w:val="false"/>
                <w:i w:val="false"/>
                <w:color w:val="000000"/>
                <w:sz w:val="20"/>
              </w:rPr>
              <w:t xml:space="preserve">округе </w:t>
            </w:r>
            <w:r>
              <w:br/>
            </w:r>
            <w:r>
              <w:rPr>
                <w:rFonts w:ascii="Times New Roman"/>
                <w:b w:val="false"/>
                <w:i w:val="false"/>
                <w:color w:val="000000"/>
                <w:sz w:val="20"/>
              </w:rPr>
              <w:t>на 2022-2023 годы</w:t>
            </w:r>
          </w:p>
        </w:tc>
      </w:tr>
    </w:tbl>
    <w:bookmarkStart w:name="z149" w:id="105"/>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оросительнымили обводнительным каналам, трубчатым или шахтным колодцам), составленную согласно норме потребления воды</w:t>
      </w:r>
    </w:p>
    <w:bookmarkEnd w:id="105"/>
    <w:bookmarkStart w:name="z150" w:id="106"/>
    <w:p>
      <w:pPr>
        <w:spacing w:after="0"/>
        <w:ind w:left="0"/>
        <w:jc w:val="both"/>
      </w:pPr>
      <w:r>
        <w:rPr>
          <w:rFonts w:ascii="Times New Roman"/>
          <w:b w:val="false"/>
          <w:i w:val="false"/>
          <w:color w:val="000000"/>
          <w:sz w:val="28"/>
        </w:rPr>
        <w:t xml:space="preserve">
      </w:t>
      </w:r>
    </w:p>
    <w:bookmarkEnd w:id="106"/>
    <w:p>
      <w:pPr>
        <w:spacing w:after="0"/>
        <w:ind w:left="0"/>
        <w:jc w:val="both"/>
      </w:pPr>
      <w:r>
        <w:drawing>
          <wp:inline distT="0" distB="0" distL="0" distR="0">
            <wp:extent cx="7810500" cy="1106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106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плану по </w:t>
            </w:r>
            <w:r>
              <w:br/>
            </w:r>
            <w:r>
              <w:rPr>
                <w:rFonts w:ascii="Times New Roman"/>
                <w:b w:val="false"/>
                <w:i w:val="false"/>
                <w:color w:val="000000"/>
                <w:sz w:val="20"/>
              </w:rPr>
              <w:t xml:space="preserve">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Жетиаралском сельском </w:t>
            </w:r>
            <w:r>
              <w:br/>
            </w:r>
            <w:r>
              <w:rPr>
                <w:rFonts w:ascii="Times New Roman"/>
                <w:b w:val="false"/>
                <w:i w:val="false"/>
                <w:color w:val="000000"/>
                <w:sz w:val="20"/>
              </w:rPr>
              <w:t xml:space="preserve">округе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153" w:id="107"/>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107"/>
    <w:bookmarkStart w:name="z154" w:id="108"/>
    <w:p>
      <w:pPr>
        <w:spacing w:after="0"/>
        <w:ind w:left="0"/>
        <w:jc w:val="both"/>
      </w:pPr>
      <w:r>
        <w:rPr>
          <w:rFonts w:ascii="Times New Roman"/>
          <w:b w:val="false"/>
          <w:i w:val="false"/>
          <w:color w:val="000000"/>
          <w:sz w:val="28"/>
        </w:rPr>
        <w:t xml:space="preserve">
      </w:t>
      </w:r>
    </w:p>
    <w:bookmarkEnd w:id="108"/>
    <w:p>
      <w:pPr>
        <w:spacing w:after="0"/>
        <w:ind w:left="0"/>
        <w:jc w:val="both"/>
      </w:pPr>
      <w:r>
        <w:drawing>
          <wp:inline distT="0" distB="0" distL="0" distR="0">
            <wp:extent cx="7810500" cy="1106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106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плану по </w:t>
            </w:r>
            <w:r>
              <w:br/>
            </w:r>
            <w:r>
              <w:rPr>
                <w:rFonts w:ascii="Times New Roman"/>
                <w:b w:val="false"/>
                <w:i w:val="false"/>
                <w:color w:val="000000"/>
                <w:sz w:val="20"/>
              </w:rPr>
              <w:t xml:space="preserve">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Жетиаралском сельском </w:t>
            </w:r>
            <w:r>
              <w:br/>
            </w:r>
            <w:r>
              <w:rPr>
                <w:rFonts w:ascii="Times New Roman"/>
                <w:b w:val="false"/>
                <w:i w:val="false"/>
                <w:color w:val="000000"/>
                <w:sz w:val="20"/>
              </w:rPr>
              <w:t xml:space="preserve">округе </w:t>
            </w:r>
            <w:r>
              <w:br/>
            </w:r>
            <w:r>
              <w:rPr>
                <w:rFonts w:ascii="Times New Roman"/>
                <w:b w:val="false"/>
                <w:i w:val="false"/>
                <w:color w:val="000000"/>
                <w:sz w:val="20"/>
              </w:rPr>
              <w:t>на 2022-2023 годы</w:t>
            </w:r>
          </w:p>
        </w:tc>
      </w:tr>
    </w:tbl>
    <w:bookmarkStart w:name="z156" w:id="109"/>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в сельском округе</w:t>
      </w:r>
    </w:p>
    <w:bookmarkEnd w:id="109"/>
    <w:bookmarkStart w:name="z157" w:id="110"/>
    <w:p>
      <w:pPr>
        <w:spacing w:after="0"/>
        <w:ind w:left="0"/>
        <w:jc w:val="both"/>
      </w:pPr>
      <w:r>
        <w:rPr>
          <w:rFonts w:ascii="Times New Roman"/>
          <w:b w:val="false"/>
          <w:i w:val="false"/>
          <w:color w:val="000000"/>
          <w:sz w:val="28"/>
        </w:rPr>
        <w:t xml:space="preserve">
      </w:t>
      </w:r>
    </w:p>
    <w:bookmarkEnd w:id="110"/>
    <w:p>
      <w:pPr>
        <w:spacing w:after="0"/>
        <w:ind w:left="0"/>
        <w:jc w:val="both"/>
      </w:pPr>
      <w:r>
        <w:drawing>
          <wp:inline distT="0" distB="0" distL="0" distR="0">
            <wp:extent cx="7810500" cy="1106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106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к плану по </w:t>
            </w:r>
            <w:r>
              <w:br/>
            </w:r>
            <w:r>
              <w:rPr>
                <w:rFonts w:ascii="Times New Roman"/>
                <w:b w:val="false"/>
                <w:i w:val="false"/>
                <w:color w:val="000000"/>
                <w:sz w:val="20"/>
              </w:rPr>
              <w:t xml:space="preserve">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Жетиаралском сельском </w:t>
            </w:r>
            <w:r>
              <w:br/>
            </w:r>
            <w:r>
              <w:rPr>
                <w:rFonts w:ascii="Times New Roman"/>
                <w:b w:val="false"/>
                <w:i w:val="false"/>
                <w:color w:val="000000"/>
                <w:sz w:val="20"/>
              </w:rPr>
              <w:t xml:space="preserve">округе </w:t>
            </w:r>
            <w:r>
              <w:br/>
            </w:r>
            <w:r>
              <w:rPr>
                <w:rFonts w:ascii="Times New Roman"/>
                <w:b w:val="false"/>
                <w:i w:val="false"/>
                <w:color w:val="000000"/>
                <w:sz w:val="20"/>
              </w:rPr>
              <w:t>на 2022-2023 годы</w:t>
            </w:r>
          </w:p>
        </w:tc>
      </w:tr>
    </w:tbl>
    <w:bookmarkStart w:name="z159" w:id="111"/>
    <w:p>
      <w:pPr>
        <w:spacing w:after="0"/>
        <w:ind w:left="0"/>
        <w:jc w:val="left"/>
      </w:pPr>
      <w:r>
        <w:rPr>
          <w:rFonts w:ascii="Times New Roman"/>
          <w:b/>
          <w:i w:val="false"/>
          <w:color w:val="000000"/>
        </w:rPr>
        <w:t xml:space="preserve"> Календарный график по использованию пастбищ, определяющие сезонные маршруты выпаса и отгона сельскохозяйственных животных</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отгона животных на дальние пастбища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обратного отгона из дальних пастбищ</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Жетиарал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Асусай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Жалгызтал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декада октября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7-1 к плану по </w:t>
            </w:r>
            <w:r>
              <w:br/>
            </w:r>
            <w:r>
              <w:rPr>
                <w:rFonts w:ascii="Times New Roman"/>
                <w:b w:val="false"/>
                <w:i w:val="false"/>
                <w:color w:val="000000"/>
                <w:sz w:val="20"/>
              </w:rPr>
              <w:t xml:space="preserve">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Жетиаралском сельском </w:t>
            </w:r>
            <w:r>
              <w:br/>
            </w:r>
            <w:r>
              <w:rPr>
                <w:rFonts w:ascii="Times New Roman"/>
                <w:b w:val="false"/>
                <w:i w:val="false"/>
                <w:color w:val="000000"/>
                <w:sz w:val="20"/>
              </w:rPr>
              <w:t xml:space="preserve">округе </w:t>
            </w:r>
            <w:r>
              <w:br/>
            </w:r>
            <w:r>
              <w:rPr>
                <w:rFonts w:ascii="Times New Roman"/>
                <w:b w:val="false"/>
                <w:i w:val="false"/>
                <w:color w:val="000000"/>
                <w:sz w:val="20"/>
              </w:rPr>
              <w:t>на 2022-2023 годы</w:t>
            </w:r>
          </w:p>
        </w:tc>
      </w:tr>
    </w:tbl>
    <w:bookmarkStart w:name="z161" w:id="112"/>
    <w:p>
      <w:pPr>
        <w:spacing w:after="0"/>
        <w:ind w:left="0"/>
        <w:jc w:val="left"/>
      </w:pPr>
      <w:r>
        <w:rPr>
          <w:rFonts w:ascii="Times New Roman"/>
          <w:b/>
          <w:i w:val="false"/>
          <w:color w:val="000000"/>
        </w:rPr>
        <w:t xml:space="preserve"> Карту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bookmarkEnd w:id="112"/>
    <w:bookmarkStart w:name="z162"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7810500" cy="1106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106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