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b53c34" w14:textId="9b53c34">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Аксуатскому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13/21-VII</w:t>
      </w:r>
    </w:p>
    <w:p>
      <w:pPr>
        <w:spacing w:after="0"/>
        <w:ind w:left="0"/>
        <w:jc w:val="both"/>
      </w:pPr>
      <w:bookmarkStart w:name="z19"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0"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Аксуатскому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13/21-VII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Аксуатскому сельскому округу на 2022-2023 годы.</w:t>
      </w:r>
    </w:p>
    <w:bookmarkEnd w:id="2"/>
    <w:bookmarkStart w:name="z21" w:id="3"/>
    <w:p>
      <w:pPr>
        <w:spacing w:after="0"/>
        <w:ind w:left="0"/>
        <w:jc w:val="both"/>
      </w:pPr>
      <w:r>
        <w:rPr>
          <w:rFonts w:ascii="Times New Roman"/>
          <w:b w:val="false"/>
          <w:i w:val="false"/>
          <w:color w:val="000000"/>
          <w:sz w:val="28"/>
        </w:rPr>
        <w:t>
      Настоящий План по управлению пастбищами и их использованию по Аксуатскому сельскому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управлений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Аксуатского сельского округа 70 200 га, из них пастбищные земли 65 930 га, орошаемые земли – 1 570 га, сенокосные земли – 2 700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 48 438 га;</w:t>
      </w:r>
    </w:p>
    <w:p>
      <w:pPr>
        <w:spacing w:after="0"/>
        <w:ind w:left="0"/>
        <w:jc w:val="both"/>
      </w:pPr>
      <w:r>
        <w:rPr>
          <w:rFonts w:ascii="Times New Roman"/>
          <w:b w:val="false"/>
          <w:i w:val="false"/>
          <w:color w:val="000000"/>
          <w:sz w:val="28"/>
        </w:rPr>
        <w:t>
      Земли населенных пунктов – 16 132 га;</w:t>
      </w:r>
    </w:p>
    <w:p>
      <w:pPr>
        <w:spacing w:after="0"/>
        <w:ind w:left="0"/>
        <w:jc w:val="both"/>
      </w:pPr>
      <w:r>
        <w:rPr>
          <w:rFonts w:ascii="Times New Roman"/>
          <w:b w:val="false"/>
          <w:i w:val="false"/>
          <w:color w:val="000000"/>
          <w:sz w:val="28"/>
        </w:rPr>
        <w:t>
      В сельском округе действуют 1 ветеринарных пунктов, 1 убойных площадок, 1 скотомогильников.</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Аксуатского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p>
      <w:pPr>
        <w:spacing w:after="0"/>
        <w:ind w:left="0"/>
        <w:jc w:val="both"/>
      </w:pPr>
      <w:r>
        <w:rPr>
          <w:rFonts w:ascii="Times New Roman"/>
          <w:b w:val="false"/>
          <w:i w:val="false"/>
          <w:color w:val="000000"/>
          <w:sz w:val="28"/>
        </w:rPr>
        <w:t>
      - планово картографический M l:25000 аэросъемки 1980 г. и дешифровки 1985г.;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24"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Аксуатский сельский округ расположен в центральной части Тарбагатайского района, его площадь 70,2 тысяч га, что составляет 3,0 % от площади района.</w:t>
      </w:r>
    </w:p>
    <w:p>
      <w:pPr>
        <w:spacing w:after="0"/>
        <w:ind w:left="0"/>
        <w:jc w:val="both"/>
      </w:pPr>
      <w:r>
        <w:rPr>
          <w:rFonts w:ascii="Times New Roman"/>
          <w:b w:val="false"/>
          <w:i w:val="false"/>
          <w:color w:val="000000"/>
          <w:sz w:val="28"/>
        </w:rPr>
        <w:t>
      На севере и западе сельский округ граничит с землями Екпинского сельского округа, на востоке и юге с землями Кумгольского сельского округа.</w:t>
      </w:r>
    </w:p>
    <w:p>
      <w:pPr>
        <w:spacing w:after="0"/>
        <w:ind w:left="0"/>
        <w:jc w:val="both"/>
      </w:pPr>
      <w:r>
        <w:rPr>
          <w:rFonts w:ascii="Times New Roman"/>
          <w:b w:val="false"/>
          <w:i w:val="false"/>
          <w:color w:val="000000"/>
          <w:sz w:val="28"/>
        </w:rPr>
        <w:t>
      Центром сельского округа является село Кумголь, расположенное в 26км от районного центра с.Аксуат.</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местного значения Аксуат – Кумголь - Ойшылик.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8692 головы крупного рогатого скота, 1357 голов лошадей и 7494 головы овец и коз.</w:t>
      </w:r>
    </w:p>
    <w:bookmarkStart w:name="z25"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Start w:name="z22" w:id="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6"/>
    <w:bookmarkStart w:name="z23" w:id="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7"/>
    <w:bookmarkStart w:name="z3" w:id="8"/>
    <w:p>
      <w:pPr>
        <w:spacing w:after="0"/>
        <w:ind w:left="0"/>
        <w:jc w:val="left"/>
      </w:pPr>
      <w:r>
        <w:rPr>
          <w:rFonts w:ascii="Times New Roman"/>
          <w:b/>
          <w:i w:val="false"/>
          <w:color w:val="000000"/>
        </w:rPr>
        <w:t xml:space="preserve"> 3. ОРГАНИЗАЦИЯ ТЕРРИТОРИИ ПАСТБИЩ</w:t>
      </w:r>
    </w:p>
    <w:bookmarkEnd w:id="8"/>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both"/>
      </w:pPr>
      <w:r>
        <w:rPr>
          <w:rFonts w:ascii="Times New Roman"/>
          <w:b w:val="false"/>
          <w:i w:val="false"/>
          <w:color w:val="000000"/>
          <w:sz w:val="28"/>
        </w:rPr>
        <w:t>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both"/>
      </w:pPr>
      <w:r>
        <w:rPr>
          <w:rFonts w:ascii="Times New Roman"/>
          <w:b w:val="false"/>
          <w:i w:val="false"/>
          <w:color w:val="000000"/>
          <w:sz w:val="28"/>
        </w:rPr>
        <w:t>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 </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6км, для коров – 2,5км, для лошадей – 8км.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w:t>
      </w:r>
    </w:p>
    <w:p>
      <w:pPr>
        <w:spacing w:after="0"/>
        <w:ind w:left="0"/>
        <w:jc w:val="both"/>
      </w:pPr>
      <w:r>
        <w:rPr>
          <w:rFonts w:ascii="Times New Roman"/>
          <w:b w:val="false"/>
          <w:i w:val="false"/>
          <w:color w:val="000000"/>
          <w:sz w:val="28"/>
        </w:rPr>
        <w:t>
      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 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1357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7494 головы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8692</w:t>
            </w:r>
          </w:p>
          <w:p>
            <w:pPr>
              <w:spacing w:after="20"/>
              <w:ind w:left="20"/>
              <w:jc w:val="both"/>
            </w:pPr>
            <w:r>
              <w:rPr>
                <w:rFonts w:ascii="Times New Roman"/>
                <w:b w:val="false"/>
                <w:i w:val="false"/>
                <w:color w:val="000000"/>
                <w:sz w:val="20"/>
              </w:rPr>
              <w:t>
7494</w:t>
            </w:r>
          </w:p>
          <w:p>
            <w:pPr>
              <w:spacing w:after="20"/>
              <w:ind w:left="20"/>
              <w:jc w:val="both"/>
            </w:pPr>
            <w:r>
              <w:rPr>
                <w:rFonts w:ascii="Times New Roman"/>
                <w:b w:val="false"/>
                <w:i w:val="false"/>
                <w:color w:val="000000"/>
                <w:sz w:val="20"/>
              </w:rPr>
              <w:t>
1357</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363685</w:t>
            </w:r>
          </w:p>
          <w:p>
            <w:pPr>
              <w:spacing w:after="20"/>
              <w:ind w:left="20"/>
              <w:jc w:val="both"/>
            </w:pPr>
            <w:r>
              <w:rPr>
                <w:rFonts w:ascii="Times New Roman"/>
                <w:b w:val="false"/>
                <w:i w:val="false"/>
                <w:color w:val="000000"/>
                <w:sz w:val="20"/>
              </w:rPr>
              <w:t>
227680</w:t>
            </w:r>
          </w:p>
          <w:p>
            <w:pPr>
              <w:spacing w:after="20"/>
              <w:ind w:left="20"/>
              <w:jc w:val="both"/>
            </w:pPr>
            <w:r>
              <w:rPr>
                <w:rFonts w:ascii="Times New Roman"/>
                <w:b w:val="false"/>
                <w:i w:val="false"/>
                <w:color w:val="000000"/>
                <w:sz w:val="20"/>
              </w:rPr>
              <w:t>
74940</w:t>
            </w:r>
          </w:p>
          <w:p>
            <w:pPr>
              <w:spacing w:after="20"/>
              <w:ind w:left="20"/>
              <w:jc w:val="both"/>
            </w:pPr>
            <w:r>
              <w:rPr>
                <w:rFonts w:ascii="Times New Roman"/>
                <w:b w:val="false"/>
                <w:i w:val="false"/>
                <w:color w:val="000000"/>
                <w:sz w:val="20"/>
              </w:rPr>
              <w:t>
61065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24246</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both"/>
      </w:pPr>
      <w:r>
        <w:rPr>
          <w:rFonts w:ascii="Times New Roman"/>
          <w:b w:val="false"/>
          <w:i w:val="false"/>
          <w:color w:val="000000"/>
          <w:sz w:val="28"/>
        </w:rPr>
        <w:t>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Кабанбай-ский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8592</w:t>
            </w:r>
          </w:p>
          <w:p>
            <w:pPr>
              <w:spacing w:after="20"/>
              <w:ind w:left="20"/>
              <w:jc w:val="both"/>
            </w:pPr>
            <w:r>
              <w:rPr>
                <w:rFonts w:ascii="Times New Roman"/>
                <w:b w:val="false"/>
                <w:i w:val="false"/>
                <w:color w:val="000000"/>
                <w:sz w:val="20"/>
              </w:rPr>
              <w:t>
7494</w:t>
            </w:r>
          </w:p>
          <w:p>
            <w:pPr>
              <w:spacing w:after="20"/>
              <w:ind w:left="20"/>
              <w:jc w:val="both"/>
            </w:pPr>
            <w:r>
              <w:rPr>
                <w:rFonts w:ascii="Times New Roman"/>
                <w:b w:val="false"/>
                <w:i w:val="false"/>
                <w:color w:val="000000"/>
                <w:sz w:val="20"/>
              </w:rPr>
              <w:t>
622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24246</w:t>
            </w:r>
          </w:p>
          <w:p>
            <w:pPr>
              <w:spacing w:after="20"/>
              <w:ind w:left="20"/>
              <w:jc w:val="both"/>
            </w:pPr>
            <w:r>
              <w:rPr>
                <w:rFonts w:ascii="Times New Roman"/>
                <w:b w:val="false"/>
                <w:i w:val="false"/>
                <w:color w:val="000000"/>
                <w:sz w:val="20"/>
              </w:rPr>
              <w:t>
15180</w:t>
            </w:r>
          </w:p>
          <w:p>
            <w:pPr>
              <w:spacing w:after="20"/>
              <w:ind w:left="20"/>
              <w:jc w:val="both"/>
            </w:pPr>
            <w:r>
              <w:rPr>
                <w:rFonts w:ascii="Times New Roman"/>
                <w:b w:val="false"/>
                <w:i w:val="false"/>
                <w:color w:val="000000"/>
                <w:sz w:val="20"/>
              </w:rPr>
              <w:t>
4996</w:t>
            </w:r>
          </w:p>
          <w:p>
            <w:pPr>
              <w:spacing w:after="20"/>
              <w:ind w:left="20"/>
              <w:jc w:val="both"/>
            </w:pPr>
            <w:r>
              <w:rPr>
                <w:rFonts w:ascii="Times New Roman"/>
                <w:b w:val="false"/>
                <w:i w:val="false"/>
                <w:color w:val="000000"/>
                <w:sz w:val="20"/>
              </w:rPr>
              <w:t>
4070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3581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- 20666</w:t>
            </w:r>
          </w:p>
        </w:tc>
      </w:tr>
    </w:tbl>
    <w:bookmarkStart w:name="z9" w:id="9"/>
    <w:p>
      <w:pPr>
        <w:spacing w:after="0"/>
        <w:ind w:left="0"/>
        <w:jc w:val="left"/>
      </w:pPr>
      <w:r>
        <w:rPr>
          <w:rFonts w:ascii="Times New Roman"/>
          <w:b/>
          <w:i w:val="false"/>
          <w:color w:val="000000"/>
        </w:rPr>
        <w:t xml:space="preserve"> 6. ПРИРОДООХРАННЫЕ МЕРОПРИЯТИЯ</w:t>
      </w:r>
    </w:p>
    <w:bookmarkEnd w:id="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0" w:id="10"/>
    <w:p>
      <w:pPr>
        <w:spacing w:after="0"/>
        <w:ind w:left="0"/>
        <w:jc w:val="left"/>
      </w:pPr>
      <w:r>
        <w:rPr>
          <w:rFonts w:ascii="Times New Roman"/>
          <w:b/>
          <w:i w:val="false"/>
          <w:color w:val="000000"/>
        </w:rPr>
        <w:t xml:space="preserve"> 7. Территория с особым режимом использования земель</w:t>
      </w:r>
    </w:p>
    <w:bookmarkEnd w:id="10"/>
    <w:p>
      <w:pPr>
        <w:spacing w:after="0"/>
        <w:ind w:left="0"/>
        <w:jc w:val="both"/>
      </w:pPr>
      <w:r>
        <w:rPr>
          <w:rFonts w:ascii="Times New Roman"/>
          <w:b w:val="false"/>
          <w:i w:val="false"/>
          <w:color w:val="000000"/>
          <w:sz w:val="28"/>
        </w:rPr>
        <w:t xml:space="preserve">
      В соответствии с Правилами установления водоохранных зон и полос, утвержденных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 Министра сельского хозяйства Республики Казахстан от 6 сентября 2017 года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xml:space="preserve">
      В соответствии с требованиями </w:t>
      </w:r>
      <w:r>
        <w:rPr>
          <w:rFonts w:ascii="Times New Roman"/>
          <w:b w:val="false"/>
          <w:i w:val="false"/>
          <w:color w:val="000000"/>
          <w:sz w:val="28"/>
        </w:rPr>
        <w:t>статьи 125</w:t>
      </w:r>
      <w:r>
        <w:rPr>
          <w:rFonts w:ascii="Times New Roman"/>
          <w:b w:val="false"/>
          <w:i w:val="false"/>
          <w:color w:val="000000"/>
          <w:sz w:val="28"/>
        </w:rPr>
        <w:t xml:space="preserve">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Аксуатскому сельскому округу собственников земельных участков и землепользователей на основании правоустанавливающих документов</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Приемлемые схемы пастбищеоборотов</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Аксуат</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Аксуатском сельском округе</w:t>
            </w:r>
            <w:r>
              <w:br/>
            </w:r>
            <w:r>
              <w:rPr>
                <w:rFonts w:ascii="Times New Roman"/>
                <w:b w:val="false"/>
                <w:i w:val="false"/>
                <w:color w:val="000000"/>
                <w:sz w:val="20"/>
              </w:rPr>
              <w:t>на 2022-2023 годы</w:t>
            </w:r>
          </w:p>
        </w:tc>
      </w:tr>
    </w:tbl>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p>
      <w:pPr>
        <w:spacing w:after="0"/>
        <w:ind w:left="0"/>
        <w:jc w:val="left"/>
      </w:pPr>
      <w:r>
        <w:br/>
      </w:r>
    </w:p>
    <w:p>
      <w:pPr>
        <w:spacing w:after="0"/>
        <w:ind w:left="0"/>
        <w:jc w:val="both"/>
      </w:pPr>
      <w:r>
        <w:drawing>
          <wp:inline distT="0" distB="0" distL="0" distR="0">
            <wp:extent cx="7810500" cy="1104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49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