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abd9" w14:textId="df8a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Акжарскому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13/20-VII</w:t>
      </w:r>
    </w:p>
    <w:p>
      <w:pPr>
        <w:spacing w:after="0"/>
        <w:ind w:left="0"/>
        <w:jc w:val="both"/>
      </w:pPr>
      <w:bookmarkStart w:name="z19"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20"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Акжарскому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13/20-VII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в Акжарскому сельскому округу на 2022-2023 годы</w:t>
      </w:r>
    </w:p>
    <w:bookmarkEnd w:id="2"/>
    <w:bookmarkStart w:name="z21" w:id="3"/>
    <w:p>
      <w:pPr>
        <w:spacing w:after="0"/>
        <w:ind w:left="0"/>
        <w:jc w:val="both"/>
      </w:pPr>
      <w:r>
        <w:rPr>
          <w:rFonts w:ascii="Times New Roman"/>
          <w:b w:val="false"/>
          <w:i w:val="false"/>
          <w:color w:val="000000"/>
          <w:sz w:val="28"/>
        </w:rPr>
        <w:t>
      Настоящий План по управлению пастбищами и их использованию по Акжарскому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территорий Акжарского сельского округа 86964 га, из них пастбищные земли 53259 га, орошаемые земли – 3500 га, сенокосные земли – 3364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60123 га;</w:t>
      </w:r>
    </w:p>
    <w:p>
      <w:pPr>
        <w:spacing w:after="0"/>
        <w:ind w:left="0"/>
        <w:jc w:val="both"/>
      </w:pPr>
      <w:r>
        <w:rPr>
          <w:rFonts w:ascii="Times New Roman"/>
          <w:b w:val="false"/>
          <w:i w:val="false"/>
          <w:color w:val="000000"/>
          <w:sz w:val="28"/>
        </w:rPr>
        <w:t>
      Земли населенных пунктов – 26841га;</w:t>
      </w:r>
    </w:p>
    <w:p>
      <w:pPr>
        <w:spacing w:after="0"/>
        <w:ind w:left="0"/>
        <w:jc w:val="both"/>
      </w:pPr>
      <w:r>
        <w:rPr>
          <w:rFonts w:ascii="Times New Roman"/>
          <w:b w:val="false"/>
          <w:i w:val="false"/>
          <w:color w:val="000000"/>
          <w:sz w:val="28"/>
        </w:rPr>
        <w:t>
      В округе действует 1 ветеринарный пункт, 1 убойный площадка, 1 скотомогильник.</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Акжарского сельского округа Тарбагатайского района"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1980г.;</w:t>
      </w:r>
    </w:p>
    <w:p>
      <w:pPr>
        <w:spacing w:after="0"/>
        <w:ind w:left="0"/>
        <w:jc w:val="both"/>
      </w:pPr>
      <w:r>
        <w:rPr>
          <w:rFonts w:ascii="Times New Roman"/>
          <w:b w:val="false"/>
          <w:i w:val="false"/>
          <w:color w:val="000000"/>
          <w:sz w:val="28"/>
        </w:rPr>
        <w:t>
      - инвентаризации обводненных пастбищ 1987г.;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xml:space="preserve">
      - текстовая часть – пояснительная записка </w:t>
      </w:r>
    </w:p>
    <w:p>
      <w:pPr>
        <w:spacing w:after="0"/>
        <w:ind w:left="0"/>
        <w:jc w:val="both"/>
      </w:pPr>
      <w:r>
        <w:rPr>
          <w:rFonts w:ascii="Times New Roman"/>
          <w:b w:val="false"/>
          <w:i w:val="false"/>
          <w:color w:val="000000"/>
          <w:sz w:val="28"/>
        </w:rPr>
        <w:t>
      - карта расположения пастбищ на территории сельского округа в</w:t>
      </w:r>
    </w:p>
    <w:p>
      <w:pPr>
        <w:spacing w:after="0"/>
        <w:ind w:left="0"/>
        <w:jc w:val="both"/>
      </w:pPr>
      <w:r>
        <w:rPr>
          <w:rFonts w:ascii="Times New Roman"/>
          <w:b w:val="false"/>
          <w:i w:val="false"/>
          <w:color w:val="000000"/>
          <w:sz w:val="28"/>
        </w:rPr>
        <w:t>
      М 1: 50 000;</w:t>
      </w:r>
    </w:p>
    <w:p>
      <w:pPr>
        <w:spacing w:after="0"/>
        <w:ind w:left="0"/>
        <w:jc w:val="both"/>
      </w:pPr>
      <w:r>
        <w:rPr>
          <w:rFonts w:ascii="Times New Roman"/>
          <w:b w:val="false"/>
          <w:i w:val="false"/>
          <w:color w:val="000000"/>
          <w:sz w:val="28"/>
        </w:rPr>
        <w:t>
      - приемлемые схемы пастбищеоборотов;</w:t>
      </w:r>
    </w:p>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Start w:name="z22" w:id="4"/>
    <w:p>
      <w:pPr>
        <w:spacing w:after="0"/>
        <w:ind w:left="0"/>
        <w:jc w:val="left"/>
      </w:pPr>
      <w:r>
        <w:rPr>
          <w:rFonts w:ascii="Times New Roman"/>
          <w:b/>
          <w:i w:val="false"/>
          <w:color w:val="000000"/>
        </w:rPr>
        <w:t xml:space="preserve"> 1. ОБЩИЕ СВЕДЕНИЯ</w:t>
      </w:r>
    </w:p>
    <w:bookmarkEnd w:id="4"/>
    <w:p>
      <w:pPr>
        <w:spacing w:after="0"/>
        <w:ind w:left="0"/>
        <w:jc w:val="both"/>
      </w:pPr>
      <w:r>
        <w:rPr>
          <w:rFonts w:ascii="Times New Roman"/>
          <w:b w:val="false"/>
          <w:i w:val="false"/>
          <w:color w:val="000000"/>
          <w:sz w:val="28"/>
        </w:rPr>
        <w:t>
      Акжарский сельский округ расположен в центральной части Тарбагатайского района, его площадь 86,9 тысяч га, что составляет 3,7% от площади района.</w:t>
      </w:r>
    </w:p>
    <w:p>
      <w:pPr>
        <w:spacing w:after="0"/>
        <w:ind w:left="0"/>
        <w:jc w:val="both"/>
      </w:pPr>
      <w:r>
        <w:rPr>
          <w:rFonts w:ascii="Times New Roman"/>
          <w:b w:val="false"/>
          <w:i w:val="false"/>
          <w:color w:val="000000"/>
          <w:sz w:val="28"/>
        </w:rPr>
        <w:t>
      На севере сельский округ граничит с землями Кабанбайского сельского округа, на востоке граничит с землями Маныракского сельского округа, на юге граничит с землями Жетиаральского сельского округа, на западе граничит с землями Карасуйского сельского округа.</w:t>
      </w:r>
    </w:p>
    <w:p>
      <w:pPr>
        <w:spacing w:after="0"/>
        <w:ind w:left="0"/>
        <w:jc w:val="both"/>
      </w:pPr>
      <w:r>
        <w:rPr>
          <w:rFonts w:ascii="Times New Roman"/>
          <w:b w:val="false"/>
          <w:i w:val="false"/>
          <w:color w:val="000000"/>
          <w:sz w:val="28"/>
        </w:rPr>
        <w:t>
      Центром сельского округа является село Акжар расположенное в 90 км от районного центра с. Аксуат.</w:t>
      </w:r>
    </w:p>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4 сельских населенных пункта: - с.Акжар, с.Жаналык, с.Жанатилеу, с.Сагындык.</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Карасу - Акжар.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9846 голов крупного рогатого скота, 1291 голова лошадей и 22162 головы овец и коз.</w:t>
      </w:r>
    </w:p>
    <w:bookmarkStart w:name="z23" w:id="5"/>
    <w:p>
      <w:pPr>
        <w:spacing w:after="0"/>
        <w:ind w:left="0"/>
        <w:jc w:val="left"/>
      </w:pPr>
      <w:r>
        <w:rPr>
          <w:rFonts w:ascii="Times New Roman"/>
          <w:b/>
          <w:i w:val="false"/>
          <w:color w:val="000000"/>
        </w:rPr>
        <w:t xml:space="preserve"> 2. РАСТИТЕЛЬНОСТЬ</w:t>
      </w:r>
    </w:p>
    <w:bookmarkEnd w:id="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Start w:name="z24" w:id="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6"/>
    <w:bookmarkStart w:name="z25" w:id="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ее высота до 10-30 см. Урожайность сухой растительной массы 1- 4ц/га.</w:t>
      </w:r>
    </w:p>
    <w:bookmarkEnd w:id="7"/>
    <w:bookmarkStart w:name="z3" w:id="8"/>
    <w:p>
      <w:pPr>
        <w:spacing w:after="0"/>
        <w:ind w:left="0"/>
        <w:jc w:val="left"/>
      </w:pPr>
      <w:r>
        <w:rPr>
          <w:rFonts w:ascii="Times New Roman"/>
          <w:b/>
          <w:i w:val="false"/>
          <w:color w:val="000000"/>
        </w:rPr>
        <w:t xml:space="preserve"> 3. ОРГАНИЗАЦИЯ ТЕРРИТОРИИ ПАСТБИЩ</w:t>
      </w:r>
    </w:p>
    <w:bookmarkEnd w:id="8"/>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both"/>
      </w:pPr>
      <w:r>
        <w:rPr>
          <w:rFonts w:ascii="Times New Roman"/>
          <w:b w:val="false"/>
          <w:i w:val="false"/>
          <w:color w:val="000000"/>
          <w:sz w:val="28"/>
        </w:rPr>
        <w:t>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both"/>
      </w:pPr>
      <w:r>
        <w:rPr>
          <w:rFonts w:ascii="Times New Roman"/>
          <w:b w:val="false"/>
          <w:i w:val="false"/>
          <w:color w:val="000000"/>
          <w:sz w:val="28"/>
        </w:rPr>
        <w:t>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1987года, рассчитаны площади пастбищ, необходимых для обеспечения имеющегося поголовья животных пастбищным кормом (таблица 4).</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6км, для коров – 2,5км, для лошадей – 8км.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w:t>
      </w:r>
    </w:p>
    <w:p>
      <w:pPr>
        <w:spacing w:after="0"/>
        <w:ind w:left="0"/>
        <w:jc w:val="both"/>
      </w:pPr>
      <w:r>
        <w:rPr>
          <w:rFonts w:ascii="Times New Roman"/>
          <w:b w:val="false"/>
          <w:i w:val="false"/>
          <w:color w:val="000000"/>
          <w:sz w:val="28"/>
        </w:rPr>
        <w:t>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1291 голова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22162 головы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9846</w:t>
            </w:r>
          </w:p>
          <w:p>
            <w:pPr>
              <w:spacing w:after="20"/>
              <w:ind w:left="20"/>
              <w:jc w:val="both"/>
            </w:pPr>
            <w:r>
              <w:rPr>
                <w:rFonts w:ascii="Times New Roman"/>
                <w:b w:val="false"/>
                <w:i w:val="false"/>
                <w:color w:val="000000"/>
                <w:sz w:val="20"/>
              </w:rPr>
              <w:t>
22162</w:t>
            </w:r>
          </w:p>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673555</w:t>
            </w:r>
          </w:p>
          <w:p>
            <w:pPr>
              <w:spacing w:after="20"/>
              <w:ind w:left="20"/>
              <w:jc w:val="both"/>
            </w:pPr>
            <w:r>
              <w:rPr>
                <w:rFonts w:ascii="Times New Roman"/>
                <w:b w:val="false"/>
                <w:i w:val="false"/>
                <w:color w:val="000000"/>
                <w:sz w:val="20"/>
              </w:rPr>
              <w:t>
393840</w:t>
            </w:r>
          </w:p>
          <w:p>
            <w:pPr>
              <w:spacing w:after="20"/>
              <w:ind w:left="20"/>
              <w:jc w:val="both"/>
            </w:pPr>
            <w:r>
              <w:rPr>
                <w:rFonts w:ascii="Times New Roman"/>
                <w:b w:val="false"/>
                <w:i w:val="false"/>
                <w:color w:val="000000"/>
                <w:sz w:val="20"/>
              </w:rPr>
              <w:t>
221620</w:t>
            </w:r>
          </w:p>
          <w:p>
            <w:pPr>
              <w:spacing w:after="20"/>
              <w:ind w:left="20"/>
              <w:jc w:val="both"/>
            </w:pPr>
            <w:r>
              <w:rPr>
                <w:rFonts w:ascii="Times New Roman"/>
                <w:b w:val="false"/>
                <w:i w:val="false"/>
                <w:color w:val="000000"/>
                <w:sz w:val="20"/>
              </w:rPr>
              <w:t>
58095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both"/>
      </w:pPr>
      <w:r>
        <w:rPr>
          <w:rFonts w:ascii="Times New Roman"/>
          <w:b w:val="false"/>
          <w:i w:val="false"/>
          <w:color w:val="000000"/>
          <w:sz w:val="28"/>
        </w:rPr>
        <w:t>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9846</w:t>
            </w:r>
          </w:p>
          <w:p>
            <w:pPr>
              <w:spacing w:after="20"/>
              <w:ind w:left="20"/>
              <w:jc w:val="both"/>
            </w:pPr>
            <w:r>
              <w:rPr>
                <w:rFonts w:ascii="Times New Roman"/>
                <w:b w:val="false"/>
                <w:i w:val="false"/>
                <w:color w:val="000000"/>
                <w:sz w:val="20"/>
              </w:rPr>
              <w:t>
22162</w:t>
            </w:r>
          </w:p>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44904</w:t>
            </w:r>
          </w:p>
          <w:p>
            <w:pPr>
              <w:spacing w:after="20"/>
              <w:ind w:left="20"/>
              <w:jc w:val="both"/>
            </w:pPr>
            <w:r>
              <w:rPr>
                <w:rFonts w:ascii="Times New Roman"/>
                <w:b w:val="false"/>
                <w:i w:val="false"/>
                <w:color w:val="000000"/>
                <w:sz w:val="20"/>
              </w:rPr>
              <w:t>
26256</w:t>
            </w:r>
          </w:p>
          <w:p>
            <w:pPr>
              <w:spacing w:after="20"/>
              <w:ind w:left="20"/>
              <w:jc w:val="both"/>
            </w:pPr>
            <w:r>
              <w:rPr>
                <w:rFonts w:ascii="Times New Roman"/>
                <w:b w:val="false"/>
                <w:i w:val="false"/>
                <w:color w:val="000000"/>
                <w:sz w:val="20"/>
              </w:rPr>
              <w:t>
14775</w:t>
            </w:r>
          </w:p>
          <w:p>
            <w:pPr>
              <w:spacing w:after="20"/>
              <w:ind w:left="20"/>
              <w:jc w:val="both"/>
            </w:pPr>
            <w:r>
              <w:rPr>
                <w:rFonts w:ascii="Times New Roman"/>
                <w:b w:val="false"/>
                <w:i w:val="false"/>
                <w:color w:val="000000"/>
                <w:sz w:val="20"/>
              </w:rPr>
              <w:t>
3873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- 32581,4</w:t>
            </w:r>
          </w:p>
        </w:tc>
      </w:tr>
    </w:tbl>
    <w:bookmarkStart w:name="z9" w:id="9"/>
    <w:p>
      <w:pPr>
        <w:spacing w:after="0"/>
        <w:ind w:left="0"/>
        <w:jc w:val="left"/>
      </w:pPr>
      <w:r>
        <w:rPr>
          <w:rFonts w:ascii="Times New Roman"/>
          <w:b/>
          <w:i w:val="false"/>
          <w:color w:val="000000"/>
        </w:rPr>
        <w:t xml:space="preserve"> 6. ПРИРОДООХРАННЫЕ МЕРОПРИЯТИЯ</w:t>
      </w:r>
    </w:p>
    <w:bookmarkEnd w:id="9"/>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10" w:id="10"/>
    <w:p>
      <w:pPr>
        <w:spacing w:after="0"/>
        <w:ind w:left="0"/>
        <w:jc w:val="left"/>
      </w:pPr>
      <w:r>
        <w:rPr>
          <w:rFonts w:ascii="Times New Roman"/>
          <w:b/>
          <w:i w:val="false"/>
          <w:color w:val="000000"/>
        </w:rPr>
        <w:t xml:space="preserve"> 7. Территория с особым режимом использования земель</w:t>
      </w:r>
    </w:p>
    <w:bookmarkEnd w:id="10"/>
    <w:p>
      <w:pPr>
        <w:spacing w:after="0"/>
        <w:ind w:left="0"/>
        <w:jc w:val="both"/>
      </w:pPr>
      <w:r>
        <w:rPr>
          <w:rFonts w:ascii="Times New Roman"/>
          <w:b w:val="false"/>
          <w:i w:val="false"/>
          <w:color w:val="000000"/>
          <w:sz w:val="28"/>
        </w:rPr>
        <w:t xml:space="preserve">
      В соответствии с Правилами установления водоохранных зон и полос,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от 18 мая 2015 года № 19 – 1/446, с изменениями внесенными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6 сентября 2017г.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p>
      <w:pPr>
        <w:spacing w:after="0"/>
        <w:ind w:left="0"/>
        <w:jc w:val="both"/>
      </w:pPr>
      <w:r>
        <w:rPr>
          <w:rFonts w:ascii="Times New Roman"/>
          <w:b w:val="false"/>
          <w:i w:val="false"/>
          <w:color w:val="000000"/>
          <w:sz w:val="28"/>
        </w:rPr>
        <w:t>
      -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Акжарском</w:t>
            </w:r>
            <w:r>
              <w:br/>
            </w:r>
            <w:r>
              <w:rPr>
                <w:rFonts w:ascii="Times New Roman"/>
                <w:b w:val="false"/>
                <w:i w:val="false"/>
                <w:color w:val="000000"/>
                <w:sz w:val="20"/>
              </w:rPr>
              <w:t>сельском округе на</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Акжарскому сельскому округу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Акжарском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Акжарском</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 xml:space="preserve">и их использованию в </w:t>
            </w:r>
            <w:r>
              <w:br/>
            </w:r>
            <w:r>
              <w:rPr>
                <w:rFonts w:ascii="Times New Roman"/>
                <w:b w:val="false"/>
                <w:i w:val="false"/>
                <w:color w:val="000000"/>
                <w:sz w:val="20"/>
              </w:rPr>
              <w:t>Акжарском</w:t>
            </w:r>
            <w:r>
              <w:br/>
            </w:r>
            <w:r>
              <w:rPr>
                <w:rFonts w:ascii="Times New Roman"/>
                <w:b w:val="false"/>
                <w:i w:val="false"/>
                <w:color w:val="000000"/>
                <w:sz w:val="20"/>
              </w:rPr>
              <w:t>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Акжарском</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 xml:space="preserve">использованию в Акжарском </w:t>
            </w:r>
            <w:r>
              <w:br/>
            </w:r>
            <w:r>
              <w:rPr>
                <w:rFonts w:ascii="Times New Roman"/>
                <w:b w:val="false"/>
                <w:i w:val="false"/>
                <w:color w:val="000000"/>
                <w:sz w:val="20"/>
              </w:rPr>
              <w:t>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Акжарском</w:t>
            </w:r>
            <w:r>
              <w:br/>
            </w:r>
            <w:r>
              <w:rPr>
                <w:rFonts w:ascii="Times New Roman"/>
                <w:b w:val="false"/>
                <w:i w:val="false"/>
                <w:color w:val="000000"/>
                <w:sz w:val="20"/>
              </w:rPr>
              <w:t xml:space="preserve">сельском окрге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Акжарском</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