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4037" w14:textId="b734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8 декабря 2021 года № 597</w:t>
      </w:r>
    </w:p>
    <w:p>
      <w:pPr>
        <w:spacing w:after="0"/>
        <w:ind w:left="0"/>
        <w:jc w:val="both"/>
      </w:pPr>
      <w:bookmarkStart w:name="z11"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акимат Курчумского района ПОСТАНОВЛЯЕТ:</w:t>
      </w:r>
    </w:p>
    <w:bookmarkEnd w:id="0"/>
    <w:bookmarkStart w:name="z12"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13" w:id="2"/>
    <w:p>
      <w:pPr>
        <w:spacing w:after="0"/>
        <w:ind w:left="0"/>
        <w:jc w:val="both"/>
      </w:pPr>
      <w:r>
        <w:rPr>
          <w:rFonts w:ascii="Times New Roman"/>
          <w:b w:val="false"/>
          <w:i w:val="false"/>
          <w:color w:val="000000"/>
          <w:sz w:val="28"/>
        </w:rPr>
        <w:t>
      2. Государственному учреждению "Отдел экономики и финансов Курчумского района" принять необходимые меры, вытекающие из настоящего постановления.</w:t>
      </w:r>
    </w:p>
    <w:bookmarkEnd w:id="2"/>
    <w:bookmarkStart w:name="z1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Р.Умутбаевой.</w:t>
      </w:r>
    </w:p>
    <w:bookmarkEnd w:id="3"/>
    <w:bookmarkStart w:name="z1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Курчумского района</w:t>
            </w:r>
            <w:r>
              <w:br/>
            </w:r>
            <w:r>
              <w:rPr>
                <w:rFonts w:ascii="Times New Roman"/>
                <w:b w:val="false"/>
                <w:i w:val="false"/>
                <w:color w:val="000000"/>
                <w:sz w:val="20"/>
              </w:rPr>
              <w:t>от 8 декабря 2021 года</w:t>
            </w:r>
            <w:r>
              <w:br/>
            </w:r>
            <w:r>
              <w:rPr>
                <w:rFonts w:ascii="Times New Roman"/>
                <w:b w:val="false"/>
                <w:i w:val="false"/>
                <w:color w:val="000000"/>
                <w:sz w:val="20"/>
              </w:rPr>
              <w:t>№ 597</w:t>
            </w:r>
          </w:p>
        </w:tc>
      </w:tr>
    </w:tbl>
    <w:bookmarkStart w:name="z2"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3"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4"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7" w:id="9"/>
    <w:p>
      <w:pPr>
        <w:spacing w:after="0"/>
        <w:ind w:left="0"/>
        <w:jc w:val="both"/>
      </w:pPr>
      <w:r>
        <w:rPr>
          <w:rFonts w:ascii="Times New Roman"/>
          <w:b w:val="false"/>
          <w:i w:val="false"/>
          <w:color w:val="000000"/>
          <w:sz w:val="28"/>
        </w:rPr>
        <w:t xml:space="preserve">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 xml:space="preserve">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5"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18"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Start w:name="z6" w:id="12"/>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2"/>
    <w:bookmarkStart w:name="z19" w:id="13"/>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3"/>
    <w:bookmarkStart w:name="z20" w:id="14"/>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4"/>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Start w:name="z21" w:id="15"/>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15"/>
    <w:bookmarkStart w:name="z22" w:id="16"/>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16"/>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Start w:name="z23" w:id="1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p>
      <w:pPr>
        <w:spacing w:after="0"/>
        <w:ind w:left="0"/>
        <w:jc w:val="both"/>
      </w:pPr>
      <w:r>
        <w:rPr>
          <w:rFonts w:ascii="Times New Roman"/>
          <w:b w:val="false"/>
          <w:i w:val="false"/>
          <w:color w:val="000000"/>
          <w:sz w:val="28"/>
        </w:rPr>
        <w:t>
      1) коэффициент урбанизации: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дисперсности расселения: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p>
      <w:pPr>
        <w:spacing w:after="0"/>
        <w:ind w:left="0"/>
        <w:jc w:val="both"/>
      </w:pPr>
      <w:r>
        <w:rPr>
          <w:rFonts w:ascii="Times New Roman"/>
          <w:b w:val="false"/>
          <w:i w:val="false"/>
          <w:color w:val="000000"/>
          <w:sz w:val="28"/>
        </w:rPr>
        <w:t>
      3) коэффициент масштаба: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p>
      <w:pPr>
        <w:spacing w:after="0"/>
        <w:ind w:left="0"/>
        <w:jc w:val="both"/>
      </w:pPr>
      <w:r>
        <w:rPr>
          <w:rFonts w:ascii="Times New Roman"/>
          <w:b w:val="false"/>
          <w:i w:val="false"/>
          <w:color w:val="000000"/>
          <w:sz w:val="28"/>
        </w:rPr>
        <w:t>
      4)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7) коэффициент плотности: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плотность населения в среднем по району; </w:t>
      </w:r>
    </w:p>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p>
      <w:pPr>
        <w:spacing w:after="0"/>
        <w:ind w:left="0"/>
        <w:jc w:val="both"/>
      </w:pPr>
      <w:r>
        <w:rPr>
          <w:rFonts w:ascii="Times New Roman"/>
          <w:b w:val="false"/>
          <w:i w:val="false"/>
          <w:color w:val="000000"/>
          <w:sz w:val="28"/>
        </w:rPr>
        <w:t xml:space="preserve">
      8) коэффициент содержания дорог: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p>
      <w:pPr>
        <w:spacing w:after="0"/>
        <w:ind w:left="0"/>
        <w:jc w:val="both"/>
      </w:pPr>
      <w:r>
        <w:rPr>
          <w:rFonts w:ascii="Times New Roman"/>
          <w:b w:val="false"/>
          <w:i w:val="false"/>
          <w:color w:val="000000"/>
          <w:sz w:val="28"/>
        </w:rPr>
        <w:t>
      8) коэффициент учета продолжительности отопительного сезона: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период отопительного сезона в среднем по району;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Start w:name="z24" w:id="18"/>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18"/>
    <w:bookmarkStart w:name="z7" w:id="19"/>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19"/>
    <w:bookmarkStart w:name="z25" w:id="20"/>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2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КЗi = k * РЗi,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Start w:name="z8" w:id="21"/>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21"/>
    <w:bookmarkStart w:name="z26" w:id="22"/>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22"/>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p>
      <w:pPr>
        <w:spacing w:after="0"/>
        <w:ind w:left="0"/>
        <w:jc w:val="both"/>
      </w:pPr>
      <w:r>
        <w:rPr>
          <w:rFonts w:ascii="Times New Roman"/>
          <w:b w:val="false"/>
          <w:i w:val="false"/>
          <w:color w:val="000000"/>
          <w:sz w:val="28"/>
        </w:rPr>
        <w:t>
      ЗБПРi = ( r1 * РЗi) + ( r2 * ПОДi),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Start w:name="z27" w:id="23"/>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23"/>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правилу</w:t>
            </w:r>
            <w:r>
              <w:br/>
            </w:r>
            <w:r>
              <w:rPr>
                <w:rFonts w:ascii="Times New Roman"/>
                <w:b w:val="false"/>
                <w:i w:val="false"/>
                <w:color w:val="000000"/>
                <w:sz w:val="20"/>
              </w:rPr>
              <w:t>расчетов прогнозных объемов</w:t>
            </w:r>
            <w:r>
              <w:br/>
            </w:r>
            <w:r>
              <w:rPr>
                <w:rFonts w:ascii="Times New Roman"/>
                <w:b w:val="false"/>
                <w:i w:val="false"/>
                <w:color w:val="000000"/>
                <w:sz w:val="20"/>
              </w:rPr>
              <w:t xml:space="preserve">доходов и затрат бюджетов </w:t>
            </w:r>
            <w:r>
              <w:br/>
            </w:r>
            <w:r>
              <w:rPr>
                <w:rFonts w:ascii="Times New Roman"/>
                <w:b w:val="false"/>
                <w:i w:val="false"/>
                <w:color w:val="000000"/>
                <w:sz w:val="20"/>
              </w:rPr>
              <w:t>городов</w:t>
            </w:r>
            <w:r>
              <w:br/>
            </w:r>
            <w:r>
              <w:rPr>
                <w:rFonts w:ascii="Times New Roman"/>
                <w:b w:val="false"/>
                <w:i w:val="false"/>
                <w:color w:val="000000"/>
                <w:sz w:val="20"/>
              </w:rPr>
              <w:t xml:space="preserve">районного значения, сел, </w:t>
            </w:r>
            <w:r>
              <w:br/>
            </w:r>
            <w:r>
              <w:rPr>
                <w:rFonts w:ascii="Times New Roman"/>
                <w:b w:val="false"/>
                <w:i w:val="false"/>
                <w:color w:val="000000"/>
                <w:sz w:val="20"/>
              </w:rPr>
              <w:t>поселков,</w:t>
            </w:r>
            <w:r>
              <w:br/>
            </w:r>
            <w:r>
              <w:rPr>
                <w:rFonts w:ascii="Times New Roman"/>
                <w:b w:val="false"/>
                <w:i w:val="false"/>
                <w:color w:val="000000"/>
                <w:sz w:val="20"/>
              </w:rPr>
              <w:t>сельских округов</w:t>
            </w:r>
          </w:p>
        </w:tc>
      </w:tr>
    </w:tbl>
    <w:bookmarkStart w:name="z10" w:id="24"/>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продукции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(тысяча квадратных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малого и среднего бизнеса в валовом региональном продукте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