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3db" w14:textId="f102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Парыгинскому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7/17-VII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Парыгинскому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23/8-VII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Парыгинском сельском округе района Алтай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21.10.2022 № 23/8-VII.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Парыгинском сельском округе районе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Парыгинского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Парыгинском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Парыгинском сельском округе имеются 4 населенных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Парыгинского сельского округа 18519 га, из них пашни – 4858 га, пастбищные земли – 8628 га.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10370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4352 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80 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- 3717 га.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Парыгинского сельского округа относится к горно-лугово-степной земледельческой зоне. Климат влажный, умеренно теплый. Осадков выпадает за год в среднем 560-615 мм. Максимальное количество их приходится на июль.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Парыгинского сельского округа имеется ветеринарный пункт и скотомогильник.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Парыгинском сельском округе насчитывается (личное подворье населения и поголовье сельскохозяйственных предприятий, крестьянских хозяйств) крупного рогатого скота 1570 голов, из них маточное (дойное) поголовье 883 голов, мелкого рогатого скота 722 головы, лошадей 319 головы,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Зубовск: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449 голов, из них маточное (дойное) поголовье 337 голов, мелкого рогатого скота 374 головы, лошадей - 103 головы.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1260 га.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Парыгино: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816 голов, из них маточное (дойное) поголовье 382 головы, мелкого рогатого скота 324 головы, лошадей - 182 головы.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1840 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Баяновск: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264 головы, из них маточное (дойное) поголовье 142 головы, мелкого рогатого скота 20 голов, лошадей – 12 голов.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562 га.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Кутиха: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41 голова, из них маточное (дойное) поголовье 22 головы, мелкого рогатого скота 4 головы, лошадей – 22 головы.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900 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численности поголовья сельскохозяйственных животных по Парыгинскому сельскому округу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Парыгинскому сельскому округу имеются всего 8628 га пастбищных угодий, в черте населенных пунктов числится 4562 га пастбищ.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(поселок Зубовск, село Парыгино, село Баяновск, село Кутиха) по содержанию маточного (дойного) поголовья сельскохозяйственных животных при имеющихся пастбищных угодьях населенных пунктов в размере 4562 га, потребность составляет 1002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 дь пастбищ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 крупного рогатого скота – 3 га, мелкого рогатого скота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поселка Зубовск организовано 3 гурта: 1 гурт – севернее поселка Зубовск, водопой – река Бухтарма; 2 гурт –восточнее поселка Зубовск, водопой - река Березовка; 3 гурт – южнее поселка Зубовск, водопой – река Урунхайка, ручьи.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Парыгино организовано 4 гурта: 1 гурт – в районе горы Мяконькой, водопой – протока реки Тургусун; 2 гурт – в 1,6 км от села Парыгино, водопой- протока реки Бухтарма; 3 гурт - в 1 км от села Парыгино, водопой- протока реки Бухтарма; 4 гурт - в районе горы Чушка, водопой- речка Погорелка.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Баяновск организован 1 гурт: в 1 км западнее села Баяновск, водопой - протока реки Бухтарма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Кутиха организован 1 гурт: в 0,5 км южнее села Кутиха, водопой - река Тургусун.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 ТОО), крестьянских и фермерских хозяйствах Парыгинского сельского округа составляет: крупного рогатого скота 906 голов, мелкого рогатого скота 47 голов, лошадей 147 голов.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3171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"Серебряный ключ"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"Восток-Рекорд"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"Зубовское"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ТОО"Зыбер"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"Алтай Жері"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"Саша"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"Козлов А.Г."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"Робул В.М."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"Данияр"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"СПК"Доня"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крестьянских хозяйств в размере 339 га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восполнить за счет выпаса сельскохозяйственных животных на землях населенных пунктов, потребность пастбищных угодий простого товарищества "Данияр" в размере 213 га из земель, предоставленных товариществу с ограниченной ответственностью "Зыбер".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Парыгинского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4516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4389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Парыгинском сельском округе 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4389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