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f2c3" w14:textId="eeff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30 ноября 2021 года № 657</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акимат Зайсанского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"Отдел экономики и финансов Зайсанского района"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С.Нуртазину.</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Зайсанского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Зайсанского района</w:t>
            </w:r>
            <w:r>
              <w:br/>
            </w:r>
            <w:r>
              <w:rPr>
                <w:rFonts w:ascii="Times New Roman"/>
                <w:b w:val="false"/>
                <w:i w:val="false"/>
                <w:color w:val="000000"/>
                <w:sz w:val="20"/>
              </w:rPr>
              <w:t>от 30 ноября 2021 года</w:t>
            </w:r>
            <w:r>
              <w:br/>
            </w:r>
            <w:r>
              <w:rPr>
                <w:rFonts w:ascii="Times New Roman"/>
                <w:b w:val="false"/>
                <w:i w:val="false"/>
                <w:color w:val="000000"/>
                <w:sz w:val="20"/>
              </w:rPr>
              <w:t>№ 657</w:t>
            </w:r>
          </w:p>
        </w:tc>
      </w:tr>
    </w:tbl>
    <w:bookmarkStart w:name="z8"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9" w:id="6"/>
    <w:p>
      <w:pPr>
        <w:spacing w:after="0"/>
        <w:ind w:left="0"/>
        <w:jc w:val="left"/>
      </w:pPr>
      <w:r>
        <w:rPr>
          <w:rFonts w:ascii="Times New Roman"/>
          <w:b/>
          <w:i w:val="false"/>
          <w:color w:val="000000"/>
        </w:rPr>
        <w:t xml:space="preserve"> Глава 1. Основные положения</w:t>
      </w:r>
    </w:p>
    <w:bookmarkEnd w:id="6"/>
    <w:bookmarkStart w:name="z10" w:id="7"/>
    <w:p>
      <w:pPr>
        <w:spacing w:after="0"/>
        <w:ind w:left="0"/>
        <w:jc w:val="both"/>
      </w:pPr>
      <w:r>
        <w:rPr>
          <w:rFonts w:ascii="Times New Roman"/>
          <w:b w:val="false"/>
          <w:i w:val="false"/>
          <w:color w:val="000000"/>
          <w:sz w:val="28"/>
        </w:rPr>
        <w:t>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пунктом 9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1"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2" w:id="9"/>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 Республики Казахстан.</w:t>
      </w:r>
    </w:p>
    <w:bookmarkEnd w:id="9"/>
    <w:bookmarkStart w:name="z13"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14" w:id="11"/>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15" w:id="12"/>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2"/>
    <w:bookmarkStart w:name="z16" w:id="13"/>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17" w:id="14"/>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14"/>
    <w:bookmarkStart w:name="z18" w:id="1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5"/>
    <w:bookmarkStart w:name="z19" w:id="16"/>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1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0" w:id="1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Start w:name="z21" w:id="18"/>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18"/>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Насігор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Насі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Насімелк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Насі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Насі – прогнозная численность населения в i-й городов районного значения,сел,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Насісельск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Nі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bі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dі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Start w:name="z22"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19"/>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Start w:name="z23" w:id="20"/>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2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24" w:id="21"/>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21"/>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Зайсанского района</w:t>
            </w:r>
            <w:r>
              <w:br/>
            </w:r>
            <w:r>
              <w:rPr>
                <w:rFonts w:ascii="Times New Roman"/>
                <w:b w:val="false"/>
                <w:i w:val="false"/>
                <w:color w:val="000000"/>
                <w:sz w:val="20"/>
              </w:rPr>
              <w:t>от 30 ноября 2021 года</w:t>
            </w:r>
            <w:r>
              <w:br/>
            </w:r>
            <w:r>
              <w:rPr>
                <w:rFonts w:ascii="Times New Roman"/>
                <w:b w:val="false"/>
                <w:i w:val="false"/>
                <w:color w:val="000000"/>
                <w:sz w:val="20"/>
              </w:rPr>
              <w:t>№ 657</w:t>
            </w:r>
          </w:p>
        </w:tc>
      </w:tr>
    </w:tbl>
    <w:bookmarkStart w:name="z26" w:id="22"/>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3492"/>
        <w:gridCol w:w="5371"/>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