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25d2" w14:textId="cc72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26 ноября 2021 года № 4827. Прекращено действие в связи с истечением срока</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(зарегистрирован в Реестре государственной регистрации нормативных правовых актов за № 13898),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Усть-Каменогорска по вопросам социальной сферы.</w:t>
      </w:r>
    </w:p>
    <w:bookmarkEnd w:id="2"/>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26.11.2021 года № 4827</w:t>
            </w:r>
          </w:p>
        </w:tc>
      </w:tr>
    </w:tbl>
    <w:bookmarkStart w:name="z9" w:id="3"/>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 отдела образования по городу Усть-Каменогорску управления образования Восточно-Казахстанской области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"Уралэнергоцветмет"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26 ноября 2021 года № 4827</w:t>
            </w:r>
          </w:p>
        </w:tc>
      </w:tr>
    </w:tbl>
    <w:bookmarkStart w:name="z11"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и состоящих на учете службы пробации на 2022 год</w:t>
      </w:r>
    </w:p>
    <w:bookmarkEnd w:id="4"/>
    <w:p>
      <w:pPr>
        <w:spacing w:after="0"/>
        <w:ind w:left="0"/>
        <w:jc w:val="both"/>
      </w:pPr>
      <w:r>
        <w:rPr>
          <w:rFonts w:ascii="Times New Roman"/>
          <w:b w:val="false"/>
          <w:i w:val="false"/>
          <w:color w:val="ff0000"/>
          <w:sz w:val="28"/>
        </w:rPr>
        <w:t xml:space="preserve">
      Сноска. Приложение 2 в редакции постановления акимата города Усть-Каменогорска Восточно-Казахстанской области от 20.09.2022 </w:t>
      </w:r>
      <w:r>
        <w:rPr>
          <w:rFonts w:ascii="Times New Roman"/>
          <w:b w:val="false"/>
          <w:i w:val="false"/>
          <w:color w:val="ff0000"/>
          <w:sz w:val="28"/>
        </w:rPr>
        <w:t>№ 3187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 ТРК"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"Комфорт DIY"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комунальное предприятие на праве хозяйственного ведения "Өскемен Водоканал"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"Усть-Каменогорские тепловые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