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5a68" w14:textId="cf65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города районного значения,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27 декабря 2021 года № 317. Утратило силу постановлением акимата Мамлютского района Северо-Казахстанской области от 30 октября 2025 года № 310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11 декабря 2014 года №139 "Об утверждении методики расчетов трансфертов общего характера", акимат Мамлютского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города районного значения,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финансов акимата Мамлютского района Северо-Казахстанской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Мамлютского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w:t>
            </w:r>
          </w:p>
        </w:tc>
      </w:tr>
    </w:tbl>
    <w:bookmarkStart w:name="z16" w:id="5"/>
    <w:p>
      <w:pPr>
        <w:spacing w:after="0"/>
        <w:ind w:left="0"/>
        <w:jc w:val="left"/>
      </w:pPr>
      <w:r>
        <w:rPr>
          <w:rFonts w:ascii="Times New Roman"/>
          <w:b/>
          <w:i w:val="false"/>
          <w:color w:val="000000"/>
        </w:rPr>
        <w:t xml:space="preserve"> Порядок расчетов прогнозных объемов доходов и затрат бюджетов городов районного значения, сел, поселков, сельских округов</w:t>
      </w:r>
    </w:p>
    <w:bookmarkEnd w:id="5"/>
    <w:bookmarkStart w:name="z17" w:id="6"/>
    <w:p>
      <w:pPr>
        <w:spacing w:after="0"/>
        <w:ind w:left="0"/>
        <w:jc w:val="left"/>
      </w:pPr>
      <w:r>
        <w:rPr>
          <w:rFonts w:ascii="Times New Roman"/>
          <w:b/>
          <w:i w:val="false"/>
          <w:color w:val="000000"/>
        </w:rPr>
        <w:t xml:space="preserve"> Глава 1. Основные положения</w:t>
      </w:r>
    </w:p>
    <w:bookmarkEnd w:id="6"/>
    <w:bookmarkStart w:name="z18" w:id="7"/>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городов районного значения, сел, поселков, сельских округов (далее – Порядок)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9"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20" w:id="9"/>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9"/>
    <w:bookmarkStart w:name="z21"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2" w:id="11"/>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bookmarkStart w:name="z23"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4"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5"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6"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7"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8"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9"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30"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31"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2"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3"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4"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5"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6" w:id="25"/>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групп осуществляемых государственных функций.</w:t>
      </w:r>
    </w:p>
    <w:bookmarkEnd w:id="25"/>
    <w:bookmarkStart w:name="z37" w:id="26"/>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26"/>
    <w:bookmarkStart w:name="z38" w:id="27"/>
    <w:p>
      <w:pPr>
        <w:spacing w:after="0"/>
        <w:ind w:left="0"/>
        <w:jc w:val="both"/>
      </w:pPr>
      <w:r>
        <w:rPr>
          <w:rFonts w:ascii="Times New Roman"/>
          <w:b w:val="false"/>
          <w:i w:val="false"/>
          <w:color w:val="000000"/>
          <w:sz w:val="28"/>
        </w:rPr>
        <w:t>
      9.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7"/>
    <w:bookmarkStart w:name="z39" w:id="28"/>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28"/>
    <w:bookmarkStart w:name="z40" w:id="29"/>
    <w:p>
      <w:pPr>
        <w:spacing w:after="0"/>
        <w:ind w:left="0"/>
        <w:jc w:val="both"/>
      </w:pPr>
      <w:r>
        <w:rPr>
          <w:rFonts w:ascii="Times New Roman"/>
          <w:b w:val="false"/>
          <w:i w:val="false"/>
          <w:color w:val="000000"/>
          <w:sz w:val="28"/>
        </w:rPr>
        <w:t>
      КЗi = k * РЗi,</w:t>
      </w:r>
    </w:p>
    <w:bookmarkEnd w:id="29"/>
    <w:bookmarkStart w:name="z41" w:id="30"/>
    <w:p>
      <w:pPr>
        <w:spacing w:after="0"/>
        <w:ind w:left="0"/>
        <w:jc w:val="both"/>
      </w:pPr>
      <w:r>
        <w:rPr>
          <w:rFonts w:ascii="Times New Roman"/>
          <w:b w:val="false"/>
          <w:i w:val="false"/>
          <w:color w:val="000000"/>
          <w:sz w:val="28"/>
        </w:rPr>
        <w:t>
      где:</w:t>
      </w:r>
    </w:p>
    <w:bookmarkEnd w:id="30"/>
    <w:bookmarkStart w:name="z42" w:id="31"/>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31"/>
    <w:bookmarkStart w:name="z43" w:id="32"/>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32"/>
    <w:bookmarkStart w:name="z44" w:id="33"/>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33"/>
    <w:bookmarkStart w:name="z45" w:id="34"/>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как среднеарифметическое процентное соотношение объема затрат по бюджетным программам капитального характера бюджетов городов районного значения, сел, поселков, сельских округов к объему текущих затрат за предыдущие три года.</w:t>
      </w:r>
    </w:p>
    <w:bookmarkEnd w:id="34"/>
    <w:bookmarkStart w:name="z46" w:id="35"/>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35"/>
    <w:bookmarkStart w:name="z47" w:id="36"/>
    <w:p>
      <w:pPr>
        <w:spacing w:after="0"/>
        <w:ind w:left="0"/>
        <w:jc w:val="both"/>
      </w:pPr>
      <w:r>
        <w:rPr>
          <w:rFonts w:ascii="Times New Roman"/>
          <w:b w:val="false"/>
          <w:i w:val="false"/>
          <w:color w:val="000000"/>
          <w:sz w:val="28"/>
        </w:rPr>
        <w:t>
      10.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36"/>
    <w:bookmarkStart w:name="z48" w:id="3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устанавливается как среднеарифметическое процентное соотношение объема затрат по бюджетным программам развития бюджетов городов районного значения, сел, поселков, сельских округов к объему текущих затрат за предыдущие три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