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4dfd" w14:textId="c474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району Тереңкөл на 2021 - 2022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Тереңкөл Павлодарской области от 5 августа 2021 года № 4/8.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1) </w:t>
      </w:r>
      <w:r>
        <w:rPr>
          <w:rFonts w:ascii="Times New Roman"/>
          <w:b w:val="false"/>
          <w:i w:val="false"/>
          <w:color w:val="000000"/>
          <w:sz w:val="28"/>
        </w:rPr>
        <w:t>статьи 8</w:t>
      </w:r>
      <w:r>
        <w:rPr>
          <w:rFonts w:ascii="Times New Roman"/>
          <w:b w:val="false"/>
          <w:i w:val="false"/>
          <w:color w:val="000000"/>
          <w:sz w:val="28"/>
        </w:rPr>
        <w:t xml:space="preserve">, </w:t>
      </w:r>
      <w:r>
        <w:rPr>
          <w:rFonts w:ascii="Times New Roman"/>
          <w:b w:val="false"/>
          <w:i w:val="false"/>
          <w:color w:val="000000"/>
          <w:sz w:val="28"/>
        </w:rPr>
        <w:t xml:space="preserve">статьей 13 </w:t>
      </w:r>
      <w:r>
        <w:rPr>
          <w:rFonts w:ascii="Times New Roman"/>
          <w:b w:val="false"/>
          <w:i w:val="false"/>
          <w:color w:val="000000"/>
          <w:sz w:val="28"/>
        </w:rPr>
        <w:t xml:space="preserve"> Закона Республики Казахстан от 20 февраля 2017 года "О пастбищах", маслихат района Тереңкөл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району Тереңкөл на 2021 - 2022 годы.</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района Тереңкөл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района Тереңкөл</w:t>
            </w:r>
            <w:r>
              <w:br/>
            </w:r>
            <w:r>
              <w:rPr>
                <w:rFonts w:ascii="Times New Roman"/>
                <w:b w:val="false"/>
                <w:i w:val="false"/>
                <w:color w:val="000000"/>
                <w:sz w:val="20"/>
              </w:rPr>
              <w:t>от "05" августа 2021 года</w:t>
            </w:r>
            <w:r>
              <w:br/>
            </w:r>
            <w:r>
              <w:rPr>
                <w:rFonts w:ascii="Times New Roman"/>
                <w:b w:val="false"/>
                <w:i w:val="false"/>
                <w:color w:val="000000"/>
                <w:sz w:val="20"/>
              </w:rPr>
              <w:t>№ 4/8</w:t>
            </w:r>
          </w:p>
        </w:tc>
      </w:tr>
    </w:tbl>
    <w:bookmarkStart w:name="z5" w:id="3"/>
    <w:p>
      <w:pPr>
        <w:spacing w:after="0"/>
        <w:ind w:left="0"/>
        <w:jc w:val="left"/>
      </w:pPr>
      <w:r>
        <w:rPr>
          <w:rFonts w:ascii="Times New Roman"/>
          <w:b/>
          <w:i w:val="false"/>
          <w:color w:val="000000"/>
        </w:rPr>
        <w:t xml:space="preserve"> План по управлению пастбищами и их использованию по району Тереңкөл на 2021 - 2022 годы</w:t>
      </w:r>
    </w:p>
    <w:bookmarkEnd w:id="3"/>
    <w:bookmarkStart w:name="z6" w:id="4"/>
    <w:p>
      <w:pPr>
        <w:spacing w:after="0"/>
        <w:ind w:left="0"/>
        <w:jc w:val="both"/>
      </w:pPr>
      <w:r>
        <w:rPr>
          <w:rFonts w:ascii="Times New Roman"/>
          <w:b w:val="false"/>
          <w:i w:val="false"/>
          <w:color w:val="000000"/>
          <w:sz w:val="28"/>
        </w:rPr>
        <w:t xml:space="preserve">
      1. Настоящий План по управлению пастбищами и их использованию по району Тереңкөл на 2021 - 2022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2017 года "О пастбищах",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Казахстан-Министра сельского хозяйства Республики Казахстан от 24 апреля 2017 года № 173 "Об утверждении Правил рационального использования пастбищ",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w:t>
      </w:r>
    </w:p>
    <w:bookmarkEnd w:id="4"/>
    <w:bookmarkStart w:name="z7" w:id="5"/>
    <w:p>
      <w:pPr>
        <w:spacing w:after="0"/>
        <w:ind w:left="0"/>
        <w:jc w:val="both"/>
      </w:pPr>
      <w:r>
        <w:rPr>
          <w:rFonts w:ascii="Times New Roman"/>
          <w:b w:val="false"/>
          <w:i w:val="false"/>
          <w:color w:val="000000"/>
          <w:sz w:val="28"/>
        </w:rPr>
        <w:t>
      2.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5"/>
    <w:bookmarkStart w:name="z8" w:id="6"/>
    <w:p>
      <w:pPr>
        <w:spacing w:after="0"/>
        <w:ind w:left="0"/>
        <w:jc w:val="both"/>
      </w:pPr>
      <w:r>
        <w:rPr>
          <w:rFonts w:ascii="Times New Roman"/>
          <w:b w:val="false"/>
          <w:i w:val="false"/>
          <w:color w:val="000000"/>
          <w:sz w:val="28"/>
        </w:rPr>
        <w:t>
      3.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6"/>
    <w:bookmarkStart w:name="z9" w:id="7"/>
    <w:p>
      <w:pPr>
        <w:spacing w:after="0"/>
        <w:ind w:left="0"/>
        <w:jc w:val="both"/>
      </w:pPr>
      <w:r>
        <w:rPr>
          <w:rFonts w:ascii="Times New Roman"/>
          <w:b w:val="false"/>
          <w:i w:val="false"/>
          <w:color w:val="000000"/>
          <w:sz w:val="28"/>
        </w:rPr>
        <w:t>
      4. План содержит:</w:t>
      </w:r>
    </w:p>
    <w:bookmarkEnd w:id="7"/>
    <w:p>
      <w:pPr>
        <w:spacing w:after="0"/>
        <w:ind w:left="0"/>
        <w:jc w:val="both"/>
      </w:pPr>
      <w:r>
        <w:rPr>
          <w:rFonts w:ascii="Times New Roman"/>
          <w:b w:val="false"/>
          <w:i w:val="false"/>
          <w:color w:val="000000"/>
          <w:sz w:val="28"/>
        </w:rPr>
        <w:t xml:space="preserve">
      1) схему (карту) расположения пастбищ на территории района Тереңкөл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2) приемлемые схемы пастбищеоборотов на территории района Тереңкөл,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3) карту района Тереңкөл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на территории района Тереңкөл,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района Тереңкөл,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населенных пунктах на территории района Тереңкөл,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 xml:space="preserve">приложению 7 </w:t>
      </w:r>
      <w:r>
        <w:rPr>
          <w:rFonts w:ascii="Times New Roman"/>
          <w:b w:val="false"/>
          <w:i w:val="false"/>
          <w:color w:val="000000"/>
          <w:sz w:val="28"/>
        </w:rPr>
        <w:t xml:space="preserve"> к настоящему Плану. </w:t>
      </w:r>
    </w:p>
    <w:bookmarkStart w:name="z10" w:id="8"/>
    <w:p>
      <w:pPr>
        <w:spacing w:after="0"/>
        <w:ind w:left="0"/>
        <w:jc w:val="both"/>
      </w:pPr>
      <w:r>
        <w:rPr>
          <w:rFonts w:ascii="Times New Roman"/>
          <w:b w:val="false"/>
          <w:i w:val="false"/>
          <w:color w:val="000000"/>
          <w:sz w:val="28"/>
        </w:rPr>
        <w:t xml:space="preserve">
      5. Почвенный покров представлен темно-каштановым, местами солонцами и солончаками. Пастбища, в связи с природно-климатической особенностью района относятся к природным пастбищам. Культурных и аридных пастбищ на территории района нет. </w:t>
      </w:r>
    </w:p>
    <w:bookmarkEnd w:id="8"/>
    <w:p>
      <w:pPr>
        <w:spacing w:after="0"/>
        <w:ind w:left="0"/>
        <w:jc w:val="both"/>
      </w:pPr>
      <w:r>
        <w:rPr>
          <w:rFonts w:ascii="Times New Roman"/>
          <w:b w:val="false"/>
          <w:i w:val="false"/>
          <w:color w:val="000000"/>
          <w:sz w:val="28"/>
        </w:rPr>
        <w:t xml:space="preserve">
      В гидрографическом отношении район имеет выгодное положение, так как вдоль района протекает река Иртыш. </w:t>
      </w:r>
    </w:p>
    <w:p>
      <w:pPr>
        <w:spacing w:after="0"/>
        <w:ind w:left="0"/>
        <w:jc w:val="both"/>
      </w:pPr>
      <w:r>
        <w:rPr>
          <w:rFonts w:ascii="Times New Roman"/>
          <w:b w:val="false"/>
          <w:i w:val="false"/>
          <w:color w:val="000000"/>
          <w:sz w:val="28"/>
        </w:rPr>
        <w:t>
      Растительность на территории района входит в подзону разнотравных ковыльных степей. Наиболее распространенными являются: типчак, ковыль, тонконог тонкий, различные вида полыни.</w:t>
      </w:r>
    </w:p>
    <w:p>
      <w:pPr>
        <w:spacing w:after="0"/>
        <w:ind w:left="0"/>
        <w:jc w:val="both"/>
      </w:pPr>
      <w:r>
        <w:rPr>
          <w:rFonts w:ascii="Times New Roman"/>
          <w:b w:val="false"/>
          <w:i w:val="false"/>
          <w:color w:val="000000"/>
          <w:sz w:val="28"/>
        </w:rPr>
        <w:t xml:space="preserve">
      Средняя урожайность пастбищных угодий составляет 10 центров/гектар. Фонд кормов пастбищ используется в пастбищный период продолжительностью 170-180 дней. </w:t>
      </w:r>
    </w:p>
    <w:bookmarkStart w:name="z11" w:id="9"/>
    <w:p>
      <w:pPr>
        <w:spacing w:after="0"/>
        <w:ind w:left="0"/>
        <w:jc w:val="both"/>
      </w:pPr>
      <w:r>
        <w:rPr>
          <w:rFonts w:ascii="Times New Roman"/>
          <w:b w:val="false"/>
          <w:i w:val="false"/>
          <w:color w:val="000000"/>
          <w:sz w:val="28"/>
        </w:rPr>
        <w:t xml:space="preserve">
      6. Район Тереңкөл образован в 1963 году, расположен на стыке Иртышской равнины и Кулундинской степи и граничит: на северо-западе с Российской Федерацией, на северо-востоке с Успенским районом, на юго-востоке с Павлодарским районом, на юго-западе с Железинским районом. Районный центр – село Теренколь. Административно-территориальное деление состоит из 30 сельских населенных пунктов, расположенных в 12 сельских округах. </w:t>
      </w:r>
    </w:p>
    <w:bookmarkEnd w:id="9"/>
    <w:p>
      <w:pPr>
        <w:spacing w:after="0"/>
        <w:ind w:left="0"/>
        <w:jc w:val="both"/>
      </w:pPr>
      <w:r>
        <w:rPr>
          <w:rFonts w:ascii="Times New Roman"/>
          <w:b w:val="false"/>
          <w:i w:val="false"/>
          <w:color w:val="000000"/>
          <w:sz w:val="28"/>
        </w:rPr>
        <w:t xml:space="preserve">
      Климат района резко континентальный. Средняя температура января от минус 18 градусов Цельсия до минус 19 Цельсия, средняя температура июля от плюс 20 градусов Цельсия до плюс 23 градусов Цельсия. Годовое количество атмосферных осадков составляет 200 – 300 миллиметров, господствуют юго-западные, северо-восточные ветры, часты восточные суховеи. </w:t>
      </w:r>
    </w:p>
    <w:bookmarkStart w:name="z12" w:id="10"/>
    <w:p>
      <w:pPr>
        <w:spacing w:after="0"/>
        <w:ind w:left="0"/>
        <w:jc w:val="both"/>
      </w:pPr>
      <w:r>
        <w:rPr>
          <w:rFonts w:ascii="Times New Roman"/>
          <w:b w:val="false"/>
          <w:i w:val="false"/>
          <w:color w:val="000000"/>
          <w:sz w:val="28"/>
        </w:rPr>
        <w:t xml:space="preserve">
      7. Общая площадь земель района 675217,71 гектар (далее – га), из них пастбищные земли – 107166,69 га. </w:t>
      </w:r>
    </w:p>
    <w:bookmarkEnd w:id="10"/>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455976,6 га;</w:t>
      </w:r>
    </w:p>
    <w:p>
      <w:pPr>
        <w:spacing w:after="0"/>
        <w:ind w:left="0"/>
        <w:jc w:val="both"/>
      </w:pPr>
      <w:r>
        <w:rPr>
          <w:rFonts w:ascii="Times New Roman"/>
          <w:b w:val="false"/>
          <w:i w:val="false"/>
          <w:color w:val="000000"/>
          <w:sz w:val="28"/>
        </w:rPr>
        <w:t>
      земли населенных пунктов – 115720,09 га;</w:t>
      </w:r>
    </w:p>
    <w:p>
      <w:pPr>
        <w:spacing w:after="0"/>
        <w:ind w:left="0"/>
        <w:jc w:val="both"/>
      </w:pPr>
      <w:r>
        <w:rPr>
          <w:rFonts w:ascii="Times New Roman"/>
          <w:b w:val="false"/>
          <w:i w:val="false"/>
          <w:color w:val="000000"/>
          <w:sz w:val="28"/>
        </w:rPr>
        <w:t xml:space="preserve">
      земли промышленности, транспорта, связи, для нужд космической деятельности, обороны, национальной безопасности и иного не сельскохозяйственного назначения – 3544,05 га; </w:t>
      </w:r>
    </w:p>
    <w:p>
      <w:pPr>
        <w:spacing w:after="0"/>
        <w:ind w:left="0"/>
        <w:jc w:val="both"/>
      </w:pPr>
      <w:r>
        <w:rPr>
          <w:rFonts w:ascii="Times New Roman"/>
          <w:b w:val="false"/>
          <w:i w:val="false"/>
          <w:color w:val="000000"/>
          <w:sz w:val="28"/>
        </w:rPr>
        <w:t>
      земли лесного фонда – 22894,0 га;</w:t>
      </w:r>
    </w:p>
    <w:p>
      <w:pPr>
        <w:spacing w:after="0"/>
        <w:ind w:left="0"/>
        <w:jc w:val="both"/>
      </w:pPr>
      <w:r>
        <w:rPr>
          <w:rFonts w:ascii="Times New Roman"/>
          <w:b w:val="false"/>
          <w:i w:val="false"/>
          <w:color w:val="000000"/>
          <w:sz w:val="28"/>
        </w:rPr>
        <w:t>
      земли водного фонда – 7800,0 га;</w:t>
      </w:r>
    </w:p>
    <w:p>
      <w:pPr>
        <w:spacing w:after="0"/>
        <w:ind w:left="0"/>
        <w:jc w:val="both"/>
      </w:pPr>
      <w:r>
        <w:rPr>
          <w:rFonts w:ascii="Times New Roman"/>
          <w:b w:val="false"/>
          <w:i w:val="false"/>
          <w:color w:val="000000"/>
          <w:sz w:val="28"/>
        </w:rPr>
        <w:t>
      земли запаса – 67028,97 га.</w:t>
      </w:r>
    </w:p>
    <w:p>
      <w:pPr>
        <w:spacing w:after="0"/>
        <w:ind w:left="0"/>
        <w:jc w:val="both"/>
      </w:pPr>
      <w:r>
        <w:rPr>
          <w:rFonts w:ascii="Times New Roman"/>
          <w:b w:val="false"/>
          <w:i w:val="false"/>
          <w:color w:val="000000"/>
          <w:sz w:val="28"/>
        </w:rPr>
        <w:t>
      В районе Тереңкөл всего по данным земельного баланса числится 355 сельскохозяйственных формирований на общей площади 455,9 тысяч га, в том числе пастбищ 107,1 тысяч га, из них:</w:t>
      </w:r>
    </w:p>
    <w:p>
      <w:pPr>
        <w:spacing w:after="0"/>
        <w:ind w:left="0"/>
        <w:jc w:val="both"/>
      </w:pPr>
      <w:r>
        <w:rPr>
          <w:rFonts w:ascii="Times New Roman"/>
          <w:b w:val="false"/>
          <w:i w:val="false"/>
          <w:color w:val="000000"/>
          <w:sz w:val="28"/>
        </w:rPr>
        <w:t xml:space="preserve">
      - крестьянских и фермерских хозяйств 214 на площади 269,1 тысяч га, в том числе пастбищ 52,0 тысяч га; </w:t>
      </w:r>
    </w:p>
    <w:p>
      <w:pPr>
        <w:spacing w:after="0"/>
        <w:ind w:left="0"/>
        <w:jc w:val="both"/>
      </w:pPr>
      <w:r>
        <w:rPr>
          <w:rFonts w:ascii="Times New Roman"/>
          <w:b w:val="false"/>
          <w:i w:val="false"/>
          <w:color w:val="000000"/>
          <w:sz w:val="28"/>
        </w:rPr>
        <w:t>
      - хозяйственных товариществ и акционерных обществ 29 на площади 162,5 тысяч га, в том числе пастбищ 35,6 тысяч га;</w:t>
      </w:r>
    </w:p>
    <w:p>
      <w:pPr>
        <w:spacing w:after="0"/>
        <w:ind w:left="0"/>
        <w:jc w:val="both"/>
      </w:pPr>
      <w:r>
        <w:rPr>
          <w:rFonts w:ascii="Times New Roman"/>
          <w:b w:val="false"/>
          <w:i w:val="false"/>
          <w:color w:val="000000"/>
          <w:sz w:val="28"/>
        </w:rPr>
        <w:t>
      - государственных сельскохозяйственных юридических лиц на 2 на площади 4,0 га, в том числе 4,0 га пастбищ.</w:t>
      </w:r>
    </w:p>
    <w:p>
      <w:pPr>
        <w:spacing w:after="0"/>
        <w:ind w:left="0"/>
        <w:jc w:val="both"/>
      </w:pPr>
      <w:r>
        <w:rPr>
          <w:rFonts w:ascii="Times New Roman"/>
          <w:b w:val="false"/>
          <w:i w:val="false"/>
          <w:color w:val="000000"/>
          <w:sz w:val="28"/>
        </w:rPr>
        <w:t>
      Из общего количества сельскохозяйственных формирований пастбищ находятся:</w:t>
      </w:r>
    </w:p>
    <w:p>
      <w:pPr>
        <w:spacing w:after="0"/>
        <w:ind w:left="0"/>
        <w:jc w:val="both"/>
      </w:pPr>
      <w:r>
        <w:rPr>
          <w:rFonts w:ascii="Times New Roman"/>
          <w:b w:val="false"/>
          <w:i w:val="false"/>
          <w:color w:val="000000"/>
          <w:sz w:val="28"/>
        </w:rPr>
        <w:t>
      - в землепользовании 383 участка на площади 107,2 тысяч га;</w:t>
      </w:r>
    </w:p>
    <w:p>
      <w:pPr>
        <w:spacing w:after="0"/>
        <w:ind w:left="0"/>
        <w:jc w:val="both"/>
      </w:pPr>
      <w:r>
        <w:rPr>
          <w:rFonts w:ascii="Times New Roman"/>
          <w:b w:val="false"/>
          <w:i w:val="false"/>
          <w:color w:val="000000"/>
          <w:sz w:val="28"/>
        </w:rPr>
        <w:t>
      - в безвозмездном землепользование 111 участков на площади 19,4 тысяч га.</w:t>
      </w:r>
    </w:p>
    <w:bookmarkStart w:name="z13" w:id="11"/>
    <w:p>
      <w:pPr>
        <w:spacing w:after="0"/>
        <w:ind w:left="0"/>
        <w:jc w:val="both"/>
      </w:pPr>
      <w:r>
        <w:rPr>
          <w:rFonts w:ascii="Times New Roman"/>
          <w:b w:val="false"/>
          <w:i w:val="false"/>
          <w:color w:val="000000"/>
          <w:sz w:val="28"/>
        </w:rPr>
        <w:t xml:space="preserve">
      8. Основными пользователями пастбищ на территории района являются сельскохозяйственные формирования. Скот населения в населенных пунктах пасется на отведенных землях. </w:t>
      </w:r>
    </w:p>
    <w:bookmarkEnd w:id="11"/>
    <w:bookmarkStart w:name="z14" w:id="12"/>
    <w:p>
      <w:pPr>
        <w:spacing w:after="0"/>
        <w:ind w:left="0"/>
        <w:jc w:val="both"/>
      </w:pPr>
      <w:r>
        <w:rPr>
          <w:rFonts w:ascii="Times New Roman"/>
          <w:b w:val="false"/>
          <w:i w:val="false"/>
          <w:color w:val="000000"/>
          <w:sz w:val="28"/>
        </w:rPr>
        <w:t>
      9. Количество поголовья сельскохозяйственных животных на территории района составляет: 35583 голов крупного рогатого скота, 42179 головы мелкого рогатого скота, 8428 головы лошадей.</w:t>
      </w:r>
    </w:p>
    <w:bookmarkEnd w:id="12"/>
    <w:bookmarkStart w:name="z15" w:id="13"/>
    <w:p>
      <w:pPr>
        <w:spacing w:after="0"/>
        <w:ind w:left="0"/>
        <w:jc w:val="both"/>
      </w:pPr>
      <w:r>
        <w:rPr>
          <w:rFonts w:ascii="Times New Roman"/>
          <w:b w:val="false"/>
          <w:i w:val="false"/>
          <w:color w:val="000000"/>
          <w:sz w:val="28"/>
        </w:rPr>
        <w:t>
      10. В районе действует 48 ветеринарно-санитарных объектов, из них 36 скотомогильников, 12 ветеринарных пункта.</w:t>
      </w:r>
    </w:p>
    <w:bookmarkEnd w:id="13"/>
    <w:bookmarkStart w:name="z16" w:id="14"/>
    <w:p>
      <w:pPr>
        <w:spacing w:after="0"/>
        <w:ind w:left="0"/>
        <w:jc w:val="both"/>
      </w:pPr>
      <w:r>
        <w:rPr>
          <w:rFonts w:ascii="Times New Roman"/>
          <w:b w:val="false"/>
          <w:i w:val="false"/>
          <w:color w:val="000000"/>
          <w:sz w:val="28"/>
        </w:rPr>
        <w:t>
      11. В районе Тереңкөл сервитуты для прогона скота не установлены.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району Тереңкөл</w:t>
            </w:r>
            <w:r>
              <w:br/>
            </w:r>
            <w:r>
              <w:rPr>
                <w:rFonts w:ascii="Times New Roman"/>
                <w:b w:val="false"/>
                <w:i w:val="false"/>
                <w:color w:val="000000"/>
                <w:sz w:val="20"/>
              </w:rPr>
              <w:t>на 2021 - 2022 годы</w:t>
            </w:r>
          </w:p>
        </w:tc>
      </w:tr>
    </w:tbl>
    <w:bookmarkStart w:name="z18" w:id="15"/>
    <w:p>
      <w:pPr>
        <w:spacing w:after="0"/>
        <w:ind w:left="0"/>
        <w:jc w:val="left"/>
      </w:pPr>
      <w:r>
        <w:rPr>
          <w:rFonts w:ascii="Times New Roman"/>
          <w:b/>
          <w:i w:val="false"/>
          <w:color w:val="000000"/>
        </w:rPr>
        <w:t xml:space="preserve"> Схема (карта) расположения пастбищ на территории района Тереңкөл в разрезе категорий земель, собственников земельных участков и землепользователей на основании правоустанавливающих документов</w:t>
      </w:r>
    </w:p>
    <w:bookmarkEnd w:id="15"/>
    <w:p>
      <w:pPr>
        <w:spacing w:after="0"/>
        <w:ind w:left="0"/>
        <w:jc w:val="left"/>
      </w:pPr>
      <w:r>
        <w:br/>
      </w:r>
    </w:p>
    <w:p>
      <w:pPr>
        <w:spacing w:after="0"/>
        <w:ind w:left="0"/>
        <w:jc w:val="both"/>
      </w:pPr>
      <w:r>
        <w:drawing>
          <wp:inline distT="0" distB="0" distL="0" distR="0">
            <wp:extent cx="70866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866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району Тереңкөл</w:t>
            </w:r>
            <w:r>
              <w:br/>
            </w:r>
            <w:r>
              <w:rPr>
                <w:rFonts w:ascii="Times New Roman"/>
                <w:b w:val="false"/>
                <w:i w:val="false"/>
                <w:color w:val="000000"/>
                <w:sz w:val="20"/>
              </w:rPr>
              <w:t>на 2021 - 2022 годы</w:t>
            </w:r>
          </w:p>
        </w:tc>
      </w:tr>
    </w:tbl>
    <w:bookmarkStart w:name="z20" w:id="16"/>
    <w:p>
      <w:pPr>
        <w:spacing w:after="0"/>
        <w:ind w:left="0"/>
        <w:jc w:val="left"/>
      </w:pPr>
      <w:r>
        <w:rPr>
          <w:rFonts w:ascii="Times New Roman"/>
          <w:b/>
          <w:i w:val="false"/>
          <w:color w:val="000000"/>
        </w:rPr>
        <w:t xml:space="preserve"> Приемлемые схемы пастбищеоборотов на территории района Тереңкөл</w:t>
      </w:r>
    </w:p>
    <w:bookmarkEnd w:id="16"/>
    <w:p>
      <w:pPr>
        <w:spacing w:after="0"/>
        <w:ind w:left="0"/>
        <w:jc w:val="left"/>
      </w:pPr>
      <w:r>
        <w:br/>
      </w:r>
    </w:p>
    <w:p>
      <w:pPr>
        <w:spacing w:after="0"/>
        <w:ind w:left="0"/>
        <w:jc w:val="both"/>
      </w:pPr>
      <w:r>
        <w:drawing>
          <wp:inline distT="0" distB="0" distL="0" distR="0">
            <wp:extent cx="72771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77100" cy="816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району Тереңкөл</w:t>
            </w:r>
            <w:r>
              <w:br/>
            </w:r>
            <w:r>
              <w:rPr>
                <w:rFonts w:ascii="Times New Roman"/>
                <w:b w:val="false"/>
                <w:i w:val="false"/>
                <w:color w:val="000000"/>
                <w:sz w:val="20"/>
              </w:rPr>
              <w:t>на 2021 - 2022 годы</w:t>
            </w:r>
          </w:p>
        </w:tc>
      </w:tr>
    </w:tbl>
    <w:bookmarkStart w:name="z22" w:id="17"/>
    <w:p>
      <w:pPr>
        <w:spacing w:after="0"/>
        <w:ind w:left="0"/>
        <w:jc w:val="left"/>
      </w:pPr>
      <w:r>
        <w:rPr>
          <w:rFonts w:ascii="Times New Roman"/>
          <w:b/>
          <w:i w:val="false"/>
          <w:color w:val="000000"/>
        </w:rPr>
        <w:t xml:space="preserve"> Карта района Тереңкөл с обозначением внешних и внутренних границ и площадей пастбищ, в том числе сезонных, объектов пастбищной инфраструктуры</w:t>
      </w:r>
    </w:p>
    <w:bookmarkEnd w:id="17"/>
    <w:p>
      <w:pPr>
        <w:spacing w:after="0"/>
        <w:ind w:left="0"/>
        <w:jc w:val="left"/>
      </w:pPr>
      <w:r>
        <w:br/>
      </w:r>
    </w:p>
    <w:p>
      <w:pPr>
        <w:spacing w:after="0"/>
        <w:ind w:left="0"/>
        <w:jc w:val="both"/>
      </w:pPr>
      <w:r>
        <w:drawing>
          <wp:inline distT="0" distB="0" distL="0" distR="0">
            <wp:extent cx="71374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374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району Тереңкөл</w:t>
            </w:r>
            <w:r>
              <w:br/>
            </w:r>
            <w:r>
              <w:rPr>
                <w:rFonts w:ascii="Times New Roman"/>
                <w:b w:val="false"/>
                <w:i w:val="false"/>
                <w:color w:val="000000"/>
                <w:sz w:val="20"/>
              </w:rPr>
              <w:t>на 2021 - 2022 годы</w:t>
            </w:r>
          </w:p>
        </w:tc>
      </w:tr>
    </w:tbl>
    <w:bookmarkStart w:name="z24" w:id="18"/>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на территории района Тереңкөл</w:t>
      </w:r>
    </w:p>
    <w:bookmarkEnd w:id="18"/>
    <w:p>
      <w:pPr>
        <w:spacing w:after="0"/>
        <w:ind w:left="0"/>
        <w:jc w:val="left"/>
      </w:pPr>
      <w:r>
        <w:br/>
      </w:r>
    </w:p>
    <w:p>
      <w:pPr>
        <w:spacing w:after="0"/>
        <w:ind w:left="0"/>
        <w:jc w:val="both"/>
      </w:pPr>
      <w:r>
        <w:drawing>
          <wp:inline distT="0" distB="0" distL="0" distR="0">
            <wp:extent cx="70866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866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району Тереңкөл</w:t>
            </w:r>
            <w:r>
              <w:br/>
            </w:r>
            <w:r>
              <w:rPr>
                <w:rFonts w:ascii="Times New Roman"/>
                <w:b w:val="false"/>
                <w:i w:val="false"/>
                <w:color w:val="000000"/>
                <w:sz w:val="20"/>
              </w:rPr>
              <w:t>на 2021 - 2022 годы</w:t>
            </w:r>
          </w:p>
        </w:tc>
      </w:tr>
    </w:tbl>
    <w:bookmarkStart w:name="z26" w:id="19"/>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района Тереңкөл</w:t>
      </w:r>
    </w:p>
    <w:bookmarkEnd w:id="19"/>
    <w:p>
      <w:pPr>
        <w:spacing w:after="0"/>
        <w:ind w:left="0"/>
        <w:jc w:val="left"/>
      </w:pPr>
      <w:r>
        <w:br/>
      </w:r>
    </w:p>
    <w:p>
      <w:pPr>
        <w:spacing w:after="0"/>
        <w:ind w:left="0"/>
        <w:jc w:val="both"/>
      </w:pPr>
      <w:r>
        <w:drawing>
          <wp:inline distT="0" distB="0" distL="0" distR="0">
            <wp:extent cx="70739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739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району Тереңкөл</w:t>
            </w:r>
            <w:r>
              <w:br/>
            </w:r>
            <w:r>
              <w:rPr>
                <w:rFonts w:ascii="Times New Roman"/>
                <w:b w:val="false"/>
                <w:i w:val="false"/>
                <w:color w:val="000000"/>
                <w:sz w:val="20"/>
              </w:rPr>
              <w:t>на 2021 - 2022 годы</w:t>
            </w:r>
          </w:p>
        </w:tc>
      </w:tr>
    </w:tbl>
    <w:bookmarkStart w:name="z28" w:id="20"/>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на территории района Тереңкөл</w:t>
      </w:r>
    </w:p>
    <w:bookmarkEnd w:id="20"/>
    <w:p>
      <w:pPr>
        <w:spacing w:after="0"/>
        <w:ind w:left="0"/>
        <w:jc w:val="left"/>
      </w:pPr>
      <w:r>
        <w:br/>
      </w:r>
    </w:p>
    <w:p>
      <w:pPr>
        <w:spacing w:after="0"/>
        <w:ind w:left="0"/>
        <w:jc w:val="both"/>
      </w:pPr>
      <w:r>
        <w:drawing>
          <wp:inline distT="0" distB="0" distL="0" distR="0">
            <wp:extent cx="72517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517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району Тереңкөл</w:t>
            </w:r>
            <w:r>
              <w:br/>
            </w:r>
            <w:r>
              <w:rPr>
                <w:rFonts w:ascii="Times New Roman"/>
                <w:b w:val="false"/>
                <w:i w:val="false"/>
                <w:color w:val="000000"/>
                <w:sz w:val="20"/>
              </w:rPr>
              <w:t>на 2021 - 2022 годы</w:t>
            </w:r>
          </w:p>
        </w:tc>
      </w:tr>
    </w:tbl>
    <w:bookmarkStart w:name="z30" w:id="21"/>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на пастбища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с пастбищ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Байконысский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w:t>
            </w:r>
          </w:p>
          <w:p>
            <w:pPr>
              <w:spacing w:after="20"/>
              <w:ind w:left="20"/>
              <w:jc w:val="both"/>
            </w:pPr>
            <w:r>
              <w:rPr>
                <w:rFonts w:ascii="Times New Roman"/>
                <w:b w:val="false"/>
                <w:i w:val="false"/>
                <w:color w:val="000000"/>
                <w:sz w:val="20"/>
              </w:rPr>
              <w:t>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Вторая декада </w:t>
            </w:r>
          </w:p>
          <w:p>
            <w:pPr>
              <w:spacing w:after="20"/>
              <w:ind w:left="20"/>
              <w:jc w:val="both"/>
            </w:pPr>
            <w:r>
              <w:rPr>
                <w:rFonts w:ascii="Times New Roman"/>
                <w:b w:val="false"/>
                <w:i w:val="false"/>
                <w:color w:val="000000"/>
                <w:sz w:val="20"/>
              </w:rPr>
              <w:t>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Первая половина </w:t>
            </w:r>
          </w:p>
          <w:p>
            <w:pPr>
              <w:spacing w:after="20"/>
              <w:ind w:left="20"/>
              <w:jc w:val="both"/>
            </w:pPr>
            <w:r>
              <w:rPr>
                <w:rFonts w:ascii="Times New Roman"/>
                <w:b w:val="false"/>
                <w:i w:val="false"/>
                <w:color w:val="000000"/>
                <w:sz w:val="20"/>
              </w:rPr>
              <w:t>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Вторая декада </w:t>
            </w:r>
          </w:p>
          <w:p>
            <w:pPr>
              <w:spacing w:after="20"/>
              <w:ind w:left="20"/>
              <w:jc w:val="both"/>
            </w:pPr>
            <w:r>
              <w:rPr>
                <w:rFonts w:ascii="Times New Roman"/>
                <w:b w:val="false"/>
                <w:i w:val="false"/>
                <w:color w:val="000000"/>
                <w:sz w:val="20"/>
              </w:rPr>
              <w:t>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Бобровский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Первая половина </w:t>
            </w:r>
          </w:p>
          <w:p>
            <w:pPr>
              <w:spacing w:after="20"/>
              <w:ind w:left="20"/>
              <w:jc w:val="both"/>
            </w:pPr>
            <w:r>
              <w:rPr>
                <w:rFonts w:ascii="Times New Roman"/>
                <w:b w:val="false"/>
                <w:i w:val="false"/>
                <w:color w:val="000000"/>
                <w:sz w:val="20"/>
              </w:rPr>
              <w:t>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Вторая декада </w:t>
            </w:r>
          </w:p>
          <w:p>
            <w:pPr>
              <w:spacing w:after="20"/>
              <w:ind w:left="20"/>
              <w:jc w:val="both"/>
            </w:pPr>
            <w:r>
              <w:rPr>
                <w:rFonts w:ascii="Times New Roman"/>
                <w:b w:val="false"/>
                <w:i w:val="false"/>
                <w:color w:val="000000"/>
                <w:sz w:val="20"/>
              </w:rPr>
              <w:t>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Первая половина </w:t>
            </w:r>
          </w:p>
          <w:p>
            <w:pPr>
              <w:spacing w:after="20"/>
              <w:ind w:left="20"/>
              <w:jc w:val="both"/>
            </w:pPr>
            <w:r>
              <w:rPr>
                <w:rFonts w:ascii="Times New Roman"/>
                <w:b w:val="false"/>
                <w:i w:val="false"/>
                <w:color w:val="000000"/>
                <w:sz w:val="20"/>
              </w:rPr>
              <w:t>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Вторая декада </w:t>
            </w:r>
          </w:p>
          <w:p>
            <w:pPr>
              <w:spacing w:after="20"/>
              <w:ind w:left="20"/>
              <w:jc w:val="both"/>
            </w:pPr>
            <w:r>
              <w:rPr>
                <w:rFonts w:ascii="Times New Roman"/>
                <w:b w:val="false"/>
                <w:i w:val="false"/>
                <w:color w:val="000000"/>
                <w:sz w:val="20"/>
              </w:rPr>
              <w:t>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Первая половина </w:t>
            </w:r>
          </w:p>
          <w:p>
            <w:pPr>
              <w:spacing w:after="20"/>
              <w:ind w:left="20"/>
              <w:jc w:val="both"/>
            </w:pPr>
            <w:r>
              <w:rPr>
                <w:rFonts w:ascii="Times New Roman"/>
                <w:b w:val="false"/>
                <w:i w:val="false"/>
                <w:color w:val="000000"/>
                <w:sz w:val="20"/>
              </w:rPr>
              <w:t>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Вторая декада </w:t>
            </w:r>
          </w:p>
          <w:p>
            <w:pPr>
              <w:spacing w:after="20"/>
              <w:ind w:left="20"/>
              <w:jc w:val="both"/>
            </w:pPr>
            <w:r>
              <w:rPr>
                <w:rFonts w:ascii="Times New Roman"/>
                <w:b w:val="false"/>
                <w:i w:val="false"/>
                <w:color w:val="000000"/>
                <w:sz w:val="20"/>
              </w:rPr>
              <w:t>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Жанакурлусский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Первая половина </w:t>
            </w:r>
          </w:p>
          <w:p>
            <w:pPr>
              <w:spacing w:after="20"/>
              <w:ind w:left="20"/>
              <w:jc w:val="both"/>
            </w:pPr>
            <w:r>
              <w:rPr>
                <w:rFonts w:ascii="Times New Roman"/>
                <w:b w:val="false"/>
                <w:i w:val="false"/>
                <w:color w:val="000000"/>
                <w:sz w:val="20"/>
              </w:rPr>
              <w:t>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Вторая декада </w:t>
            </w:r>
          </w:p>
          <w:p>
            <w:pPr>
              <w:spacing w:after="20"/>
              <w:ind w:left="20"/>
              <w:jc w:val="both"/>
            </w:pPr>
            <w:r>
              <w:rPr>
                <w:rFonts w:ascii="Times New Roman"/>
                <w:b w:val="false"/>
                <w:i w:val="false"/>
                <w:color w:val="000000"/>
                <w:sz w:val="20"/>
              </w:rPr>
              <w:t>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w:t>
            </w:r>
          </w:p>
          <w:p>
            <w:pPr>
              <w:spacing w:after="20"/>
              <w:ind w:left="20"/>
              <w:jc w:val="both"/>
            </w:pPr>
            <w:r>
              <w:rPr>
                <w:rFonts w:ascii="Times New Roman"/>
                <w:b w:val="false"/>
                <w:i w:val="false"/>
                <w:color w:val="000000"/>
                <w:sz w:val="20"/>
              </w:rPr>
              <w:t>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Вторая декада </w:t>
            </w:r>
          </w:p>
          <w:p>
            <w:pPr>
              <w:spacing w:after="20"/>
              <w:ind w:left="20"/>
              <w:jc w:val="both"/>
            </w:pPr>
            <w:r>
              <w:rPr>
                <w:rFonts w:ascii="Times New Roman"/>
                <w:b w:val="false"/>
                <w:i w:val="false"/>
                <w:color w:val="000000"/>
                <w:sz w:val="20"/>
              </w:rPr>
              <w:t>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Первая половина </w:t>
            </w:r>
          </w:p>
          <w:p>
            <w:pPr>
              <w:spacing w:after="20"/>
              <w:ind w:left="20"/>
              <w:jc w:val="both"/>
            </w:pPr>
            <w:r>
              <w:rPr>
                <w:rFonts w:ascii="Times New Roman"/>
                <w:b w:val="false"/>
                <w:i w:val="false"/>
                <w:color w:val="000000"/>
                <w:sz w:val="20"/>
              </w:rPr>
              <w:t>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Вторая декада </w:t>
            </w:r>
          </w:p>
          <w:p>
            <w:pPr>
              <w:spacing w:after="20"/>
              <w:ind w:left="20"/>
              <w:jc w:val="both"/>
            </w:pPr>
            <w:r>
              <w:rPr>
                <w:rFonts w:ascii="Times New Roman"/>
                <w:b w:val="false"/>
                <w:i w:val="false"/>
                <w:color w:val="000000"/>
                <w:sz w:val="20"/>
              </w:rPr>
              <w:t>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Теренкольский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w:t>
            </w:r>
          </w:p>
          <w:p>
            <w:pPr>
              <w:spacing w:after="20"/>
              <w:ind w:left="20"/>
              <w:jc w:val="both"/>
            </w:pPr>
            <w:r>
              <w:rPr>
                <w:rFonts w:ascii="Times New Roman"/>
                <w:b w:val="false"/>
                <w:i w:val="false"/>
                <w:color w:val="000000"/>
                <w:sz w:val="20"/>
              </w:rPr>
              <w:t>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w:t>
            </w:r>
          </w:p>
          <w:p>
            <w:pPr>
              <w:spacing w:after="20"/>
              <w:ind w:left="20"/>
              <w:jc w:val="both"/>
            </w:pPr>
            <w:r>
              <w:rPr>
                <w:rFonts w:ascii="Times New Roman"/>
                <w:b w:val="false"/>
                <w:i w:val="false"/>
                <w:color w:val="000000"/>
                <w:sz w:val="20"/>
              </w:rPr>
              <w:t>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w:t>
            </w:r>
          </w:p>
          <w:p>
            <w:pPr>
              <w:spacing w:after="20"/>
              <w:ind w:left="20"/>
              <w:jc w:val="both"/>
            </w:pPr>
            <w:r>
              <w:rPr>
                <w:rFonts w:ascii="Times New Roman"/>
                <w:b w:val="false"/>
                <w:i w:val="false"/>
                <w:color w:val="000000"/>
                <w:sz w:val="20"/>
              </w:rPr>
              <w:t>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w:t>
            </w:r>
          </w:p>
          <w:p>
            <w:pPr>
              <w:spacing w:after="20"/>
              <w:ind w:left="20"/>
              <w:jc w:val="both"/>
            </w:pPr>
            <w:r>
              <w:rPr>
                <w:rFonts w:ascii="Times New Roman"/>
                <w:b w:val="false"/>
                <w:i w:val="false"/>
                <w:color w:val="000000"/>
                <w:sz w:val="20"/>
              </w:rPr>
              <w:t>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Первая половина </w:t>
            </w:r>
          </w:p>
          <w:p>
            <w:pPr>
              <w:spacing w:after="20"/>
              <w:ind w:left="20"/>
              <w:jc w:val="both"/>
            </w:pPr>
            <w:r>
              <w:rPr>
                <w:rFonts w:ascii="Times New Roman"/>
                <w:b w:val="false"/>
                <w:i w:val="false"/>
                <w:color w:val="000000"/>
                <w:sz w:val="20"/>
              </w:rPr>
              <w:t>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Вторая декада </w:t>
            </w:r>
          </w:p>
          <w:p>
            <w:pPr>
              <w:spacing w:after="20"/>
              <w:ind w:left="20"/>
              <w:jc w:val="both"/>
            </w:pPr>
            <w:r>
              <w:rPr>
                <w:rFonts w:ascii="Times New Roman"/>
                <w:b w:val="false"/>
                <w:i w:val="false"/>
                <w:color w:val="000000"/>
                <w:sz w:val="20"/>
              </w:rPr>
              <w:t>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Первая половина </w:t>
            </w:r>
          </w:p>
          <w:p>
            <w:pPr>
              <w:spacing w:after="20"/>
              <w:ind w:left="20"/>
              <w:jc w:val="both"/>
            </w:pPr>
            <w:r>
              <w:rPr>
                <w:rFonts w:ascii="Times New Roman"/>
                <w:b w:val="false"/>
                <w:i w:val="false"/>
                <w:color w:val="000000"/>
                <w:sz w:val="20"/>
              </w:rPr>
              <w:t>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Вторая декада </w:t>
            </w:r>
          </w:p>
          <w:p>
            <w:pPr>
              <w:spacing w:after="20"/>
              <w:ind w:left="20"/>
              <w:jc w:val="both"/>
            </w:pPr>
            <w:r>
              <w:rPr>
                <w:rFonts w:ascii="Times New Roman"/>
                <w:b w:val="false"/>
                <w:i w:val="false"/>
                <w:color w:val="000000"/>
                <w:sz w:val="20"/>
              </w:rPr>
              <w:t>
октября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