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579c1" w14:textId="0e579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расчетов прогнозных объемов доходов и затрат бюджетов города районного значения, поселка, сельских округов Каркаралинского района</w:t>
      </w:r>
    </w:p>
    <w:p>
      <w:pPr>
        <w:spacing w:after="0"/>
        <w:ind w:left="0"/>
        <w:jc w:val="both"/>
      </w:pPr>
      <w:r>
        <w:rPr>
          <w:rFonts w:ascii="Times New Roman"/>
          <w:b w:val="false"/>
          <w:i w:val="false"/>
          <w:color w:val="000000"/>
          <w:sz w:val="28"/>
        </w:rPr>
        <w:t>Постановление акимата Каркаралинского района Карагандинской области от 28 октября 2021 года № 366</w:t>
      </w:r>
    </w:p>
    <w:p>
      <w:pPr>
        <w:spacing w:after="0"/>
        <w:ind w:left="0"/>
        <w:jc w:val="both"/>
      </w:pPr>
      <w:bookmarkStart w:name="z4" w:id="0"/>
      <w:r>
        <w:rPr>
          <w:rFonts w:ascii="Times New Roman"/>
          <w:b w:val="false"/>
          <w:i w:val="false"/>
          <w:color w:val="000000"/>
          <w:sz w:val="28"/>
        </w:rPr>
        <w:t>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45 Бюджетного кодекса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11 декабря 2014 года № 139 "Об утверждении методики расчетов трансфертов общего характера", акимат Каркаралинского района ПОСТАНОВЛЯЕТ:</w:t>
      </w:r>
    </w:p>
    <w:bookmarkEnd w:id="0"/>
    <w:bookmarkStart w:name="z5" w:id="1"/>
    <w:p>
      <w:pPr>
        <w:spacing w:after="0"/>
        <w:ind w:left="0"/>
        <w:jc w:val="both"/>
      </w:pPr>
      <w:r>
        <w:rPr>
          <w:rFonts w:ascii="Times New Roman"/>
          <w:b w:val="false"/>
          <w:i w:val="false"/>
          <w:color w:val="000000"/>
          <w:sz w:val="28"/>
        </w:rPr>
        <w:t>
      1. Утвердить Правила расчетов прогнозных объемов доходов и затрат бюджетов города районного значения, поселка, сельских округов Каркаралинского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w:t>
            </w:r>
            <w:r>
              <w:rPr>
                <w:rFonts w:ascii="Times New Roman"/>
                <w:b w:val="false"/>
                <w:i/>
                <w:color w:val="000000"/>
                <w:sz w:val="20"/>
              </w:rPr>
              <w:t>      Аким района</w:t>
            </w:r>
          </w:p>
          <w:bookmarkEnd w:id="4"/>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 Дюсетаев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Приложение к</w:t>
            </w:r>
            <w:r>
              <w:br/>
            </w:r>
            <w:r>
              <w:rPr>
                <w:rFonts w:ascii="Times New Roman"/>
                <w:b w:val="false"/>
                <w:i w:val="false"/>
                <w:color w:val="000000"/>
                <w:sz w:val="20"/>
              </w:rPr>
              <w:t>
постановлению акимата</w:t>
            </w:r>
            <w:r>
              <w:br/>
            </w:r>
            <w:r>
              <w:rPr>
                <w:rFonts w:ascii="Times New Roman"/>
                <w:b w:val="false"/>
                <w:i w:val="false"/>
                <w:color w:val="000000"/>
                <w:sz w:val="20"/>
              </w:rPr>
              <w:t>
Каркаралинского района</w:t>
            </w:r>
            <w:r>
              <w:br/>
            </w:r>
            <w:r>
              <w:rPr>
                <w:rFonts w:ascii="Times New Roman"/>
                <w:b w:val="false"/>
                <w:i w:val="false"/>
                <w:color w:val="000000"/>
                <w:sz w:val="20"/>
              </w:rPr>
              <w:t>
от 28 октября 2021 года</w:t>
            </w:r>
            <w:r>
              <w:br/>
            </w:r>
            <w:r>
              <w:rPr>
                <w:rFonts w:ascii="Times New Roman"/>
                <w:b w:val="false"/>
                <w:i w:val="false"/>
                <w:color w:val="000000"/>
                <w:sz w:val="20"/>
              </w:rPr>
              <w:t>
№ 366</w:t>
            </w:r>
          </w:p>
          <w:bookmarkEnd w:id="5"/>
        </w:tc>
      </w:tr>
    </w:tbl>
    <w:bookmarkStart w:name="z10" w:id="6"/>
    <w:p>
      <w:pPr>
        <w:spacing w:after="0"/>
        <w:ind w:left="0"/>
        <w:jc w:val="left"/>
      </w:pPr>
      <w:r>
        <w:rPr>
          <w:rFonts w:ascii="Times New Roman"/>
          <w:b/>
          <w:i w:val="false"/>
          <w:color w:val="000000"/>
        </w:rPr>
        <w:t xml:space="preserve"> 
Правила расчетов прогнозных объемов доходов и затрат бюджетов города, поселка, сельских округов Каркаралинского района</w:t>
      </w:r>
    </w:p>
    <w:bookmarkEnd w:id="6"/>
    <w:bookmarkStart w:name="z11" w:id="7"/>
    <w:p>
      <w:pPr>
        <w:spacing w:after="0"/>
        <w:ind w:left="0"/>
        <w:jc w:val="left"/>
      </w:pPr>
      <w:r>
        <w:rPr>
          <w:rFonts w:ascii="Times New Roman"/>
          <w:b/>
          <w:i w:val="false"/>
          <w:color w:val="000000"/>
        </w:rPr>
        <w:t xml:space="preserve"> 
Глава 1. Основные положения</w:t>
      </w:r>
    </w:p>
    <w:bookmarkEnd w:id="7"/>
    <w:bookmarkStart w:name="z12" w:id="8"/>
    <w:p>
      <w:pPr>
        <w:spacing w:after="0"/>
        <w:ind w:left="0"/>
        <w:jc w:val="both"/>
      </w:pPr>
      <w:r>
        <w:rPr>
          <w:rFonts w:ascii="Times New Roman"/>
          <w:b w:val="false"/>
          <w:i w:val="false"/>
          <w:color w:val="000000"/>
          <w:sz w:val="28"/>
        </w:rPr>
        <w:t>
      1. Настоящие правила расчетов прогнозных объемов доходов и затрат бюджетов города районного значения, поселка, сельских округов Каркаралинского района (далее – Правила) разработаны в соответствии со </w:t>
      </w:r>
      <w:r>
        <w:rPr>
          <w:rFonts w:ascii="Times New Roman"/>
          <w:b w:val="false"/>
          <w:i w:val="false"/>
          <w:color w:val="000000"/>
          <w:sz w:val="28"/>
        </w:rPr>
        <w:t>статьей 45</w:t>
      </w:r>
      <w:r>
        <w:rPr>
          <w:rFonts w:ascii="Times New Roman"/>
          <w:b w:val="false"/>
          <w:i w:val="false"/>
          <w:color w:val="000000"/>
          <w:sz w:val="28"/>
        </w:rPr>
        <w:t xml:space="preserve"> Бюджетного кодекса Республики Казахстан от 4 декабря 2008 года (далее – Бюджетный кодекс) и применяется при расчетах прогнозных объемов доходов и затрат бюджетов города районного значения, поселка, сельских округов.</w:t>
      </w:r>
    </w:p>
    <w:bookmarkEnd w:id="8"/>
    <w:bookmarkStart w:name="z13" w:id="9"/>
    <w:p>
      <w:pPr>
        <w:spacing w:after="0"/>
        <w:ind w:left="0"/>
        <w:jc w:val="left"/>
      </w:pPr>
      <w:r>
        <w:rPr>
          <w:rFonts w:ascii="Times New Roman"/>
          <w:b/>
          <w:i w:val="false"/>
          <w:color w:val="000000"/>
        </w:rPr>
        <w:t xml:space="preserve"> 
Глава 2. Определение прогнозных объемов доходов и затрат бюджетов города районного значения, поселка, сельских округов</w:t>
      </w:r>
    </w:p>
    <w:bookmarkEnd w:id="9"/>
    <w:bookmarkStart w:name="z14" w:id="10"/>
    <w:p>
      <w:pPr>
        <w:spacing w:after="0"/>
        <w:ind w:left="0"/>
        <w:jc w:val="both"/>
      </w:pPr>
      <w:r>
        <w:rPr>
          <w:rFonts w:ascii="Times New Roman"/>
          <w:b w:val="false"/>
          <w:i w:val="false"/>
          <w:color w:val="000000"/>
          <w:sz w:val="28"/>
        </w:rPr>
        <w:t>
      2. Прогнозные объемы доходов и затрат бюджетов города районного значения, поселка, сельских округов рассчитываются местным уполномоченным органом по государственному планированию района (города областного значения) в порядке, определяемом местным исполнительным органом района (города областного значения)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статья 45 Бюджетного кодекса.</w:t>
      </w:r>
    </w:p>
    <w:bookmarkEnd w:id="10"/>
    <w:bookmarkStart w:name="z15" w:id="11"/>
    <w:p>
      <w:pPr>
        <w:spacing w:after="0"/>
        <w:ind w:left="0"/>
        <w:jc w:val="both"/>
      </w:pPr>
      <w:r>
        <w:rPr>
          <w:rFonts w:ascii="Times New Roman"/>
          <w:b w:val="false"/>
          <w:i w:val="false"/>
          <w:color w:val="000000"/>
          <w:sz w:val="28"/>
        </w:rPr>
        <w:t>
      3. Прогноз доходов бюджетов города районного значения, поселка, сельских округов для установления объемов трансфертов общего характера на плановый период определяется ежегодно на скользящей основе местным уполномоченным органом по государственному планированию района (города областного значения) в соответствии с </w:t>
      </w:r>
      <w:r>
        <w:rPr>
          <w:rFonts w:ascii="Times New Roman"/>
          <w:b w:val="false"/>
          <w:i w:val="false"/>
          <w:color w:val="000000"/>
          <w:sz w:val="28"/>
        </w:rPr>
        <w:t>пунктом 9-1</w:t>
      </w:r>
      <w:r>
        <w:rPr>
          <w:rFonts w:ascii="Times New Roman"/>
          <w:b w:val="false"/>
          <w:i w:val="false"/>
          <w:color w:val="000000"/>
          <w:sz w:val="28"/>
        </w:rPr>
        <w:t xml:space="preserve"> статья 45 Бюджетного кодекса.</w:t>
      </w:r>
    </w:p>
    <w:bookmarkEnd w:id="11"/>
    <w:bookmarkStart w:name="z16" w:id="12"/>
    <w:p>
      <w:pPr>
        <w:spacing w:after="0"/>
        <w:ind w:left="0"/>
        <w:jc w:val="both"/>
      </w:pPr>
      <w:r>
        <w:rPr>
          <w:rFonts w:ascii="Times New Roman"/>
          <w:b w:val="false"/>
          <w:i w:val="false"/>
          <w:color w:val="000000"/>
          <w:sz w:val="28"/>
        </w:rPr>
        <w:t>
      4. Прогнозные объемы затрат бюджетов города районного значения, поселка, сельских округов рассчитываются как сумма прогнозных объемов затрат по текущим бюджетным программам и по бюджетным программам развития с учетом установленных </w:t>
      </w:r>
      <w:r>
        <w:rPr>
          <w:rFonts w:ascii="Times New Roman"/>
          <w:b w:val="false"/>
          <w:i w:val="false"/>
          <w:color w:val="000000"/>
          <w:sz w:val="28"/>
        </w:rPr>
        <w:t>статьей 56-1</w:t>
      </w:r>
      <w:r>
        <w:rPr>
          <w:rFonts w:ascii="Times New Roman"/>
          <w:b w:val="false"/>
          <w:i w:val="false"/>
          <w:color w:val="000000"/>
          <w:sz w:val="28"/>
        </w:rPr>
        <w:t xml:space="preserve"> Бюджетного кодекса направлений расходов по функциональному признаку.</w:t>
      </w:r>
    </w:p>
    <w:bookmarkEnd w:id="12"/>
    <w:bookmarkStart w:name="z17" w:id="13"/>
    <w:p>
      <w:pPr>
        <w:spacing w:after="0"/>
        <w:ind w:left="0"/>
        <w:jc w:val="both"/>
      </w:pPr>
      <w:r>
        <w:rPr>
          <w:rFonts w:ascii="Times New Roman"/>
          <w:b w:val="false"/>
          <w:i w:val="false"/>
          <w:color w:val="000000"/>
          <w:sz w:val="28"/>
        </w:rPr>
        <w:t>
      При этом прогнозные объемы затрат по текущим бюджетным программам, которые направлены на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 имеющих постоянный характер, а также на достижение цели, решение конкретных задач и мероприятий стратегических и программных документов, состоят из:</w:t>
      </w:r>
    </w:p>
    <w:bookmarkEnd w:id="13"/>
    <w:bookmarkStart w:name="z18" w:id="14"/>
    <w:p>
      <w:pPr>
        <w:spacing w:after="0"/>
        <w:ind w:left="0"/>
        <w:jc w:val="both"/>
      </w:pPr>
      <w:r>
        <w:rPr>
          <w:rFonts w:ascii="Times New Roman"/>
          <w:b w:val="false"/>
          <w:i w:val="false"/>
          <w:color w:val="000000"/>
          <w:sz w:val="28"/>
        </w:rPr>
        <w:t>
      затрат на оплату труда, оплата коммунальных услуг и затрат постоянного характера (далее – текущие затраты);</w:t>
      </w:r>
    </w:p>
    <w:bookmarkEnd w:id="14"/>
    <w:bookmarkStart w:name="z19" w:id="15"/>
    <w:p>
      <w:pPr>
        <w:spacing w:after="0"/>
        <w:ind w:left="0"/>
        <w:jc w:val="both"/>
      </w:pPr>
      <w:r>
        <w:rPr>
          <w:rFonts w:ascii="Times New Roman"/>
          <w:b w:val="false"/>
          <w:i w:val="false"/>
          <w:color w:val="000000"/>
          <w:sz w:val="28"/>
        </w:rPr>
        <w:t>
      затрат на укрепление материально-технической базы, капитальный ремонт и иные капитальные расходы в соответствии с экономической классификацией расходов (далее – затраты капитального характера).</w:t>
      </w:r>
    </w:p>
    <w:bookmarkEnd w:id="15"/>
    <w:bookmarkStart w:name="z20" w:id="16"/>
    <w:p>
      <w:pPr>
        <w:spacing w:after="0"/>
        <w:ind w:left="0"/>
        <w:jc w:val="left"/>
      </w:pPr>
      <w:r>
        <w:rPr>
          <w:rFonts w:ascii="Times New Roman"/>
          <w:b/>
          <w:i w:val="false"/>
          <w:color w:val="000000"/>
        </w:rPr>
        <w:t xml:space="preserve"> 
Глава 3. Расчет прогнозных объемов текущих затрат бюджетов города районного значения, поселка, сельских округов</w:t>
      </w:r>
    </w:p>
    <w:bookmarkEnd w:id="16"/>
    <w:bookmarkStart w:name="z21" w:id="17"/>
    <w:p>
      <w:pPr>
        <w:spacing w:after="0"/>
        <w:ind w:left="0"/>
        <w:jc w:val="both"/>
      </w:pPr>
      <w:r>
        <w:rPr>
          <w:rFonts w:ascii="Times New Roman"/>
          <w:b w:val="false"/>
          <w:i w:val="false"/>
          <w:color w:val="000000"/>
          <w:sz w:val="28"/>
        </w:rPr>
        <w:t>
      5. Для расчета текущих затрат определяется прогнозный объем текущих затрат в целом по бюджетам города районного значения, поселка, сельских округов.</w:t>
      </w:r>
    </w:p>
    <w:bookmarkEnd w:id="17"/>
    <w:bookmarkStart w:name="z22" w:id="18"/>
    <w:p>
      <w:pPr>
        <w:spacing w:after="0"/>
        <w:ind w:left="0"/>
        <w:jc w:val="both"/>
      </w:pPr>
      <w:r>
        <w:rPr>
          <w:rFonts w:ascii="Times New Roman"/>
          <w:b w:val="false"/>
          <w:i w:val="false"/>
          <w:color w:val="000000"/>
          <w:sz w:val="28"/>
        </w:rPr>
        <w:t>
      6. При определении прогнозного объема текущих затрат бюджетов города районного значения, поселка, сельских округов учитываются:</w:t>
      </w:r>
    </w:p>
    <w:bookmarkEnd w:id="18"/>
    <w:bookmarkStart w:name="z23" w:id="19"/>
    <w:p>
      <w:pPr>
        <w:spacing w:after="0"/>
        <w:ind w:left="0"/>
        <w:jc w:val="both"/>
      </w:pPr>
      <w:r>
        <w:rPr>
          <w:rFonts w:ascii="Times New Roman"/>
          <w:b w:val="false"/>
          <w:i w:val="false"/>
          <w:color w:val="000000"/>
          <w:sz w:val="28"/>
        </w:rPr>
        <w:t>
      1) совокупный объем текущих затрат с учетом увеличения текущих затрат на индекс потребительских цен в планируемом периоде в соответствии с прогнозом социально-экономического развития и бюджетных параметров района (за исключением заработной платы);</w:t>
      </w:r>
    </w:p>
    <w:bookmarkEnd w:id="19"/>
    <w:bookmarkStart w:name="z24" w:id="20"/>
    <w:p>
      <w:pPr>
        <w:spacing w:after="0"/>
        <w:ind w:left="0"/>
        <w:jc w:val="both"/>
      </w:pPr>
      <w:r>
        <w:rPr>
          <w:rFonts w:ascii="Times New Roman"/>
          <w:b w:val="false"/>
          <w:i w:val="false"/>
          <w:color w:val="000000"/>
          <w:sz w:val="28"/>
        </w:rPr>
        <w:t>
      2) положения законов Республики Казахстан, предусматривающие увеличение или сокращение расходов бюджетов района и вводимые в действие в планируемом периоде;</w:t>
      </w:r>
    </w:p>
    <w:bookmarkEnd w:id="20"/>
    <w:bookmarkStart w:name="z25" w:id="21"/>
    <w:p>
      <w:pPr>
        <w:spacing w:after="0"/>
        <w:ind w:left="0"/>
        <w:jc w:val="both"/>
      </w:pPr>
      <w:r>
        <w:rPr>
          <w:rFonts w:ascii="Times New Roman"/>
          <w:b w:val="false"/>
          <w:i w:val="false"/>
          <w:color w:val="000000"/>
          <w:sz w:val="28"/>
        </w:rPr>
        <w:t>
      3) положения указов Президента Республики Казахстан, постановлений Правительства Республики Казахстан, нормативных правовых приказов министров Республики Казахстан и иных руководителей центральных государственных органов, нормативных правовых постановлений центральных государственных органов,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 в структуру которого входит ведомство, предусматривающие сокращение поступлений или увеличение расходов местных бюджетов и вводимые в действие в планируемом периоде;</w:t>
      </w:r>
    </w:p>
    <w:bookmarkEnd w:id="21"/>
    <w:bookmarkStart w:name="z26" w:id="22"/>
    <w:p>
      <w:pPr>
        <w:spacing w:after="0"/>
        <w:ind w:left="0"/>
        <w:jc w:val="both"/>
      </w:pPr>
      <w:r>
        <w:rPr>
          <w:rFonts w:ascii="Times New Roman"/>
          <w:b w:val="false"/>
          <w:i w:val="false"/>
          <w:color w:val="000000"/>
          <w:sz w:val="28"/>
        </w:rPr>
        <w:t>
      4) затраты постоянного характера, ранее финансировавшиеся за счет целевых текущих трансфертов;</w:t>
      </w:r>
    </w:p>
    <w:bookmarkEnd w:id="22"/>
    <w:bookmarkStart w:name="z27" w:id="23"/>
    <w:p>
      <w:pPr>
        <w:spacing w:after="0"/>
        <w:ind w:left="0"/>
        <w:jc w:val="both"/>
      </w:pPr>
      <w:r>
        <w:rPr>
          <w:rFonts w:ascii="Times New Roman"/>
          <w:b w:val="false"/>
          <w:i w:val="false"/>
          <w:color w:val="000000"/>
          <w:sz w:val="28"/>
        </w:rPr>
        <w:t>
      5) положения решений районных представительных и исполнительных органов, предусматривающие увеличение или сокращение расходов бюджетов города районного значения, поселка, сельских округов и вводимых в действие в планируемом периоде.</w:t>
      </w:r>
    </w:p>
    <w:bookmarkEnd w:id="23"/>
    <w:bookmarkStart w:name="z28" w:id="24"/>
    <w:p>
      <w:pPr>
        <w:spacing w:after="0"/>
        <w:ind w:left="0"/>
        <w:jc w:val="both"/>
      </w:pPr>
      <w:r>
        <w:rPr>
          <w:rFonts w:ascii="Times New Roman"/>
          <w:b w:val="false"/>
          <w:i w:val="false"/>
          <w:color w:val="000000"/>
          <w:sz w:val="28"/>
        </w:rPr>
        <w:t>
      7. Из суммарного прогнозного объема текущих затрат бюджетов города районного значения, поселка, сельских округов исключаются средства на выплату экологических надбавок, оказание материальной помощи и на дополнительные отпуска работникам государственных учреждений и казенных предприятий, в соответствии с законодательством Республики Казахстан, и добавляются абсолютными суммами после расчета прогнозных объемов текущих затрат по бюджетам города районного значения, поселка, сельских округов.</w:t>
      </w:r>
    </w:p>
    <w:bookmarkEnd w:id="24"/>
    <w:bookmarkStart w:name="z29" w:id="25"/>
    <w:p>
      <w:pPr>
        <w:spacing w:after="0"/>
        <w:ind w:left="0"/>
        <w:jc w:val="both"/>
      </w:pPr>
      <w:r>
        <w:rPr>
          <w:rFonts w:ascii="Times New Roman"/>
          <w:b w:val="false"/>
          <w:i w:val="false"/>
          <w:color w:val="000000"/>
          <w:sz w:val="28"/>
        </w:rPr>
        <w:t>
      8. За расчетную базу прогнозирования объема текущих затрат бюджетов города районного значения, поселка, сельских округов принимаются объемы текущих затрат в соответствии с уточненным планом года, предшествующего планируемому периоду.</w:t>
      </w:r>
    </w:p>
    <w:bookmarkEnd w:id="25"/>
    <w:bookmarkStart w:name="z30" w:id="26"/>
    <w:p>
      <w:pPr>
        <w:spacing w:after="0"/>
        <w:ind w:left="0"/>
        <w:jc w:val="both"/>
      </w:pPr>
      <w:r>
        <w:rPr>
          <w:rFonts w:ascii="Times New Roman"/>
          <w:b w:val="false"/>
          <w:i w:val="false"/>
          <w:color w:val="000000"/>
          <w:sz w:val="28"/>
        </w:rPr>
        <w:t>
      9. Расчет прогнозного объема текущих затрат бюджетов города районного значения, поселка, сельских округов производится в разрезе функциональных подгрупп осуществляемых государственных функций с учетом показателей и коэффициентов, приведенных в перечне функциональных подгрупп, осуществляемых государственных функций, показателей и коэффициентов к ним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26"/>
    <w:bookmarkStart w:name="z31" w:id="27"/>
    <w:p>
      <w:pPr>
        <w:spacing w:after="0"/>
        <w:ind w:left="0"/>
        <w:jc w:val="both"/>
      </w:pPr>
      <w:r>
        <w:rPr>
          <w:rFonts w:ascii="Times New Roman"/>
          <w:b w:val="false"/>
          <w:i w:val="false"/>
          <w:color w:val="000000"/>
          <w:sz w:val="28"/>
        </w:rPr>
        <w:t>
      10. Расчет текущих затрат города районного значения, поселка, сельских округов по отдельной функциональной подгруппе производится по следующей формуле:</w:t>
      </w:r>
    </w:p>
    <w:bookmarkEnd w:id="27"/>
    <w:bookmarkStart w:name="z32" w:id="28"/>
    <w:p>
      <w:pPr>
        <w:spacing w:after="0"/>
        <w:ind w:left="0"/>
        <w:jc w:val="both"/>
      </w:pPr>
      <w:r>
        <w:rPr>
          <w:rFonts w:ascii="Times New Roman"/>
          <w:b w:val="false"/>
          <w:i w:val="false"/>
          <w:color w:val="000000"/>
          <w:sz w:val="28"/>
        </w:rPr>
        <w:t>
</w:t>
      </w:r>
      <w:r>
        <w:drawing>
          <wp:inline distT="0" distB="0" distL="0" distR="0">
            <wp:extent cx="52070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07000" cy="1879600"/>
                    </a:xfrm>
                    <a:prstGeom prst="rect">
                      <a:avLst/>
                    </a:prstGeom>
                  </pic:spPr>
                </pic:pic>
              </a:graphicData>
            </a:graphic>
          </wp:inline>
        </w:drawing>
      </w:r>
    </w:p>
    <w:bookmarkEnd w:id="28"/>
    <w:bookmarkStart w:name="z33" w:id="29"/>
    <w:p>
      <w:pPr>
        <w:spacing w:after="0"/>
        <w:ind w:left="0"/>
        <w:jc w:val="both"/>
      </w:pPr>
      <w:r>
        <w:rPr>
          <w:rFonts w:ascii="Times New Roman"/>
          <w:b w:val="false"/>
          <w:i w:val="false"/>
          <w:color w:val="000000"/>
          <w:sz w:val="28"/>
        </w:rPr>
        <w:t>
            где:</w:t>
      </w:r>
    </w:p>
    <w:bookmarkEnd w:id="29"/>
    <w:bookmarkStart w:name="z34" w:id="30"/>
    <w:p>
      <w:pPr>
        <w:spacing w:after="0"/>
        <w:ind w:left="0"/>
        <w:jc w:val="both"/>
      </w:pPr>
      <w:r>
        <w:rPr>
          <w:rFonts w:ascii="Times New Roman"/>
          <w:b w:val="false"/>
          <w:i w:val="false"/>
          <w:color w:val="000000"/>
          <w:sz w:val="28"/>
        </w:rPr>
        <w:t>
</w:t>
      </w:r>
      <w:r>
        <w:drawing>
          <wp:inline distT="0" distB="0" distL="0" distR="0">
            <wp:extent cx="749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9300" cy="762000"/>
                    </a:xfrm>
                    <a:prstGeom prst="rect">
                      <a:avLst/>
                    </a:prstGeom>
                  </pic:spPr>
                </pic:pic>
              </a:graphicData>
            </a:graphic>
          </wp:inline>
        </w:drawing>
      </w:r>
    </w:p>
    <w:bookmarkEnd w:id="30"/>
    <w:bookmarkStart w:name="z35" w:id="31"/>
    <w:p>
      <w:pPr>
        <w:spacing w:after="0"/>
        <w:ind w:left="0"/>
        <w:jc w:val="both"/>
      </w:pPr>
      <w:r>
        <w:rPr>
          <w:rFonts w:ascii="Times New Roman"/>
          <w:b w:val="false"/>
          <w:i w:val="false"/>
          <w:color w:val="000000"/>
          <w:sz w:val="28"/>
        </w:rPr>
        <w:t>
            – расчетные текущие затраты i-го города районного значения, поселка, сельских округов по j-й функциональной подгруппе;</w:t>
      </w:r>
    </w:p>
    <w:bookmarkEnd w:id="31"/>
    <w:bookmarkStart w:name="z36" w:id="32"/>
    <w:p>
      <w:pPr>
        <w:spacing w:after="0"/>
        <w:ind w:left="0"/>
        <w:jc w:val="both"/>
      </w:pPr>
      <w:r>
        <w:rPr>
          <w:rFonts w:ascii="Times New Roman"/>
          <w:b w:val="false"/>
          <w:i w:val="false"/>
          <w:color w:val="000000"/>
          <w:sz w:val="28"/>
        </w:rPr>
        <w:t>
      Зj – суммарный прогнозный объем текущих затрат по бюджетам города районного значения, поселка, сельских округов по j-й функциональной подгруппе;</w:t>
      </w:r>
    </w:p>
    <w:bookmarkEnd w:id="32"/>
    <w:bookmarkStart w:name="z37" w:id="33"/>
    <w:p>
      <w:pPr>
        <w:spacing w:after="0"/>
        <w:ind w:left="0"/>
        <w:jc w:val="both"/>
      </w:pPr>
      <w:r>
        <w:rPr>
          <w:rFonts w:ascii="Times New Roman"/>
          <w:b w:val="false"/>
          <w:i w:val="false"/>
          <w:color w:val="000000"/>
          <w:sz w:val="28"/>
        </w:rPr>
        <w:t>
</w:t>
      </w:r>
      <w:r>
        <w:drawing>
          <wp:inline distT="0" distB="0" distL="0" distR="0">
            <wp:extent cx="635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5000" cy="660400"/>
                    </a:xfrm>
                    <a:prstGeom prst="rect">
                      <a:avLst/>
                    </a:prstGeom>
                  </pic:spPr>
                </pic:pic>
              </a:graphicData>
            </a:graphic>
          </wp:inline>
        </w:drawing>
      </w:r>
    </w:p>
    <w:bookmarkEnd w:id="33"/>
    <w:bookmarkStart w:name="z38" w:id="34"/>
    <w:p>
      <w:pPr>
        <w:spacing w:after="0"/>
        <w:ind w:left="0"/>
        <w:jc w:val="both"/>
      </w:pPr>
      <w:r>
        <w:rPr>
          <w:rFonts w:ascii="Times New Roman"/>
          <w:b w:val="false"/>
          <w:i w:val="false"/>
          <w:color w:val="000000"/>
          <w:sz w:val="28"/>
        </w:rPr>
        <w:t>
            – количество потребителей государственных услуг i-го города районного значения, поселка, сельских округов по j-й функциональной подгруппе;</w:t>
      </w:r>
    </w:p>
    <w:bookmarkEnd w:id="34"/>
    <w:bookmarkStart w:name="z39" w:id="35"/>
    <w:p>
      <w:pPr>
        <w:spacing w:after="0"/>
        <w:ind w:left="0"/>
        <w:jc w:val="both"/>
      </w:pPr>
      <w:r>
        <w:rPr>
          <w:rFonts w:ascii="Times New Roman"/>
          <w:b w:val="false"/>
          <w:i w:val="false"/>
          <w:color w:val="000000"/>
          <w:sz w:val="28"/>
        </w:rPr>
        <w:t>
</w:t>
      </w:r>
      <w:r>
        <w:drawing>
          <wp:inline distT="0" distB="0" distL="0" distR="0">
            <wp:extent cx="2032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0" cy="685800"/>
                    </a:xfrm>
                    <a:prstGeom prst="rect">
                      <a:avLst/>
                    </a:prstGeom>
                  </pic:spPr>
                </pic:pic>
              </a:graphicData>
            </a:graphic>
          </wp:inline>
        </w:drawing>
      </w:r>
    </w:p>
    <w:bookmarkEnd w:id="35"/>
    <w:bookmarkStart w:name="z40" w:id="36"/>
    <w:p>
      <w:pPr>
        <w:spacing w:after="0"/>
        <w:ind w:left="0"/>
        <w:jc w:val="both"/>
      </w:pPr>
      <w:r>
        <w:rPr>
          <w:rFonts w:ascii="Times New Roman"/>
          <w:b w:val="false"/>
          <w:i w:val="false"/>
          <w:color w:val="000000"/>
          <w:sz w:val="28"/>
        </w:rPr>
        <w:t>
            – коэффициенты, учитывающие объективные факторы, которые обусловливают отличия в стоимости предоставления государственных услуг в i-го города районного значения, поселка, сельских округов по j-й функциональной подгруппе от средне районного уровня.</w:t>
      </w:r>
    </w:p>
    <w:bookmarkEnd w:id="36"/>
    <w:bookmarkStart w:name="z41" w:id="37"/>
    <w:p>
      <w:pPr>
        <w:spacing w:after="0"/>
        <w:ind w:left="0"/>
        <w:jc w:val="both"/>
      </w:pPr>
      <w:r>
        <w:rPr>
          <w:rFonts w:ascii="Times New Roman"/>
          <w:b w:val="false"/>
          <w:i w:val="false"/>
          <w:color w:val="000000"/>
          <w:sz w:val="28"/>
        </w:rPr>
        <w:t>
      11. При расчете прогнозного объема текущих затрат применяются следующие коэффициенты, отражающие объективные факторы, которые обусловливают различия в стоимости предоставления государственных услуг:</w:t>
      </w:r>
    </w:p>
    <w:bookmarkEnd w:id="37"/>
    <w:bookmarkStart w:name="z42" w:id="38"/>
    <w:p>
      <w:pPr>
        <w:spacing w:after="0"/>
        <w:ind w:left="0"/>
        <w:jc w:val="both"/>
      </w:pPr>
      <w:r>
        <w:rPr>
          <w:rFonts w:ascii="Times New Roman"/>
          <w:b w:val="false"/>
          <w:i w:val="false"/>
          <w:color w:val="000000"/>
          <w:sz w:val="28"/>
        </w:rPr>
        <w:t>
      1) коэффициент урбанизации:</w:t>
      </w:r>
    </w:p>
    <w:bookmarkEnd w:id="38"/>
    <w:bookmarkStart w:name="z43" w:id="39"/>
    <w:p>
      <w:pPr>
        <w:spacing w:after="0"/>
        <w:ind w:left="0"/>
        <w:jc w:val="both"/>
      </w:pPr>
      <w:r>
        <w:rPr>
          <w:rFonts w:ascii="Times New Roman"/>
          <w:b w:val="false"/>
          <w:i w:val="false"/>
          <w:color w:val="000000"/>
          <w:sz w:val="28"/>
        </w:rPr>
        <w:t>
</w:t>
      </w:r>
      <w:r>
        <w:drawing>
          <wp:inline distT="0" distB="0" distL="0" distR="0">
            <wp:extent cx="34417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41700" cy="1346200"/>
                    </a:xfrm>
                    <a:prstGeom prst="rect">
                      <a:avLst/>
                    </a:prstGeom>
                  </pic:spPr>
                </pic:pic>
              </a:graphicData>
            </a:graphic>
          </wp:inline>
        </w:drawing>
      </w:r>
    </w:p>
    <w:bookmarkEnd w:id="39"/>
    <w:bookmarkStart w:name="z44" w:id="40"/>
    <w:p>
      <w:pPr>
        <w:spacing w:after="0"/>
        <w:ind w:left="0"/>
        <w:jc w:val="both"/>
      </w:pPr>
      <w:r>
        <w:rPr>
          <w:rFonts w:ascii="Times New Roman"/>
          <w:b w:val="false"/>
          <w:i w:val="false"/>
          <w:color w:val="000000"/>
          <w:sz w:val="28"/>
        </w:rPr>
        <w:t>
            где:</w:t>
      </w:r>
    </w:p>
    <w:bookmarkEnd w:id="40"/>
    <w:bookmarkStart w:name="z45" w:id="41"/>
    <w:p>
      <w:pPr>
        <w:spacing w:after="0"/>
        <w:ind w:left="0"/>
        <w:jc w:val="both"/>
      </w:pPr>
      <w:r>
        <w:rPr>
          <w:rFonts w:ascii="Times New Roman"/>
          <w:b w:val="false"/>
          <w:i w:val="false"/>
          <w:color w:val="000000"/>
          <w:sz w:val="28"/>
        </w:rPr>
        <w:t>
      Насiгор – прогнозная численность городского населения i-му поселка, сельских округов.</w:t>
      </w:r>
    </w:p>
    <w:bookmarkEnd w:id="41"/>
    <w:bookmarkStart w:name="z46" w:id="42"/>
    <w:p>
      <w:pPr>
        <w:spacing w:after="0"/>
        <w:ind w:left="0"/>
        <w:jc w:val="both"/>
      </w:pPr>
      <w:r>
        <w:rPr>
          <w:rFonts w:ascii="Times New Roman"/>
          <w:b w:val="false"/>
          <w:i w:val="false"/>
          <w:color w:val="000000"/>
          <w:sz w:val="28"/>
        </w:rPr>
        <w:t>
      Насi – прогнозная численность населения в i-ом поселка, сельских округов.</w:t>
      </w:r>
    </w:p>
    <w:bookmarkEnd w:id="42"/>
    <w:bookmarkStart w:name="z47" w:id="43"/>
    <w:p>
      <w:pPr>
        <w:spacing w:after="0"/>
        <w:ind w:left="0"/>
        <w:jc w:val="both"/>
      </w:pPr>
      <w:r>
        <w:rPr>
          <w:rFonts w:ascii="Times New Roman"/>
          <w:b w:val="false"/>
          <w:i w:val="false"/>
          <w:color w:val="000000"/>
          <w:sz w:val="28"/>
        </w:rPr>
        <w:t>
      Коэффициент урбанизации учитывает более высокий относительно среднерайонный уровень затрат, связанных с предоставлением государственных услуг в городской местности по отдельным функциональным подгруппам;</w:t>
      </w:r>
    </w:p>
    <w:bookmarkEnd w:id="43"/>
    <w:bookmarkStart w:name="z48" w:id="44"/>
    <w:p>
      <w:pPr>
        <w:spacing w:after="0"/>
        <w:ind w:left="0"/>
        <w:jc w:val="both"/>
      </w:pPr>
      <w:r>
        <w:rPr>
          <w:rFonts w:ascii="Times New Roman"/>
          <w:b w:val="false"/>
          <w:i w:val="false"/>
          <w:color w:val="000000"/>
          <w:sz w:val="28"/>
        </w:rPr>
        <w:t>
      2) коэффициент дисперсности расселения:</w:t>
      </w:r>
    </w:p>
    <w:bookmarkEnd w:id="44"/>
    <w:bookmarkStart w:name="z49" w:id="45"/>
    <w:p>
      <w:pPr>
        <w:spacing w:after="0"/>
        <w:ind w:left="0"/>
        <w:jc w:val="both"/>
      </w:pPr>
      <w:r>
        <w:rPr>
          <w:rFonts w:ascii="Times New Roman"/>
          <w:b w:val="false"/>
          <w:i w:val="false"/>
          <w:color w:val="000000"/>
          <w:sz w:val="28"/>
        </w:rPr>
        <w:t>
</w:t>
      </w:r>
      <w:r>
        <w:drawing>
          <wp:inline distT="0" distB="0" distL="0" distR="0">
            <wp:extent cx="1803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803400" cy="596900"/>
                    </a:xfrm>
                    <a:prstGeom prst="rect">
                      <a:avLst/>
                    </a:prstGeom>
                  </pic:spPr>
                </pic:pic>
              </a:graphicData>
            </a:graphic>
          </wp:inline>
        </w:drawing>
      </w:r>
    </w:p>
    <w:bookmarkEnd w:id="45"/>
    <w:bookmarkStart w:name="z50" w:id="46"/>
    <w:p>
      <w:pPr>
        <w:spacing w:after="0"/>
        <w:ind w:left="0"/>
        <w:jc w:val="both"/>
      </w:pPr>
      <w:r>
        <w:rPr>
          <w:rFonts w:ascii="Times New Roman"/>
          <w:b w:val="false"/>
          <w:i w:val="false"/>
          <w:color w:val="000000"/>
          <w:sz w:val="28"/>
        </w:rPr>
        <w:t>
            где:</w:t>
      </w:r>
    </w:p>
    <w:bookmarkEnd w:id="46"/>
    <w:bookmarkStart w:name="z51" w:id="47"/>
    <w:p>
      <w:pPr>
        <w:spacing w:after="0"/>
        <w:ind w:left="0"/>
        <w:jc w:val="both"/>
      </w:pPr>
      <w:r>
        <w:rPr>
          <w:rFonts w:ascii="Times New Roman"/>
          <w:b w:val="false"/>
          <w:i w:val="false"/>
          <w:color w:val="000000"/>
          <w:sz w:val="28"/>
        </w:rPr>
        <w:t>
      Нас</w:t>
      </w:r>
      <w:r>
        <w:rPr>
          <w:rFonts w:ascii="Times New Roman"/>
          <w:b w:val="false"/>
          <w:i w:val="false"/>
          <w:color w:val="000000"/>
          <w:vertAlign w:val="superscript"/>
        </w:rPr>
        <w:t>i</w:t>
      </w:r>
      <w:r>
        <w:rPr>
          <w:rFonts w:ascii="Times New Roman"/>
          <w:b w:val="false"/>
          <w:i w:val="false"/>
          <w:color w:val="000000"/>
          <w:sz w:val="28"/>
        </w:rPr>
        <w:t>мелк – прогнозная численность населения i-ом города районного значения, поселка, сельских округов проживающего в населенных пунктах с численностью населения менее 500 человек;</w:t>
      </w:r>
    </w:p>
    <w:bookmarkEnd w:id="47"/>
    <w:bookmarkStart w:name="z52" w:id="48"/>
    <w:p>
      <w:pPr>
        <w:spacing w:after="0"/>
        <w:ind w:left="0"/>
        <w:jc w:val="both"/>
      </w:pPr>
      <w:r>
        <w:rPr>
          <w:rFonts w:ascii="Times New Roman"/>
          <w:b w:val="false"/>
          <w:i w:val="false"/>
          <w:color w:val="000000"/>
          <w:sz w:val="28"/>
        </w:rPr>
        <w:t>
      Нас</w:t>
      </w:r>
      <w:r>
        <w:rPr>
          <w:rFonts w:ascii="Times New Roman"/>
          <w:b w:val="false"/>
          <w:i w:val="false"/>
          <w:color w:val="000000"/>
          <w:vertAlign w:val="superscript"/>
        </w:rPr>
        <w:t>i</w:t>
      </w:r>
      <w:r>
        <w:rPr>
          <w:rFonts w:ascii="Times New Roman"/>
          <w:b w:val="false"/>
          <w:i w:val="false"/>
          <w:color w:val="000000"/>
          <w:sz w:val="28"/>
        </w:rPr>
        <w:t xml:space="preserve"> – общая прогнозная численность населения в i-ом города районного значения, поселка, сельских округов.</w:t>
      </w:r>
    </w:p>
    <w:bookmarkEnd w:id="48"/>
    <w:bookmarkStart w:name="z53" w:id="49"/>
    <w:p>
      <w:pPr>
        <w:spacing w:after="0"/>
        <w:ind w:left="0"/>
        <w:jc w:val="both"/>
      </w:pPr>
      <w:r>
        <w:rPr>
          <w:rFonts w:ascii="Times New Roman"/>
          <w:b w:val="false"/>
          <w:i w:val="false"/>
          <w:color w:val="000000"/>
          <w:sz w:val="28"/>
        </w:rPr>
        <w:t>
      Коэффициент дисперсности расселения учитывает более высокий по сравнению со среднерайонный уровень затрат, обусловленный необходимостью обеспечения определенным набором государственных услуг населению независимо от размеров населенного пункта, в том числе учитывая дополнительные транспортные и иные расходы;</w:t>
      </w:r>
    </w:p>
    <w:bookmarkEnd w:id="49"/>
    <w:bookmarkStart w:name="z54" w:id="50"/>
    <w:p>
      <w:pPr>
        <w:spacing w:after="0"/>
        <w:ind w:left="0"/>
        <w:jc w:val="both"/>
      </w:pPr>
      <w:r>
        <w:rPr>
          <w:rFonts w:ascii="Times New Roman"/>
          <w:b w:val="false"/>
          <w:i w:val="false"/>
          <w:color w:val="000000"/>
          <w:sz w:val="28"/>
        </w:rPr>
        <w:t>
      3) коэффициент масштаба:</w:t>
      </w:r>
    </w:p>
    <w:bookmarkEnd w:id="50"/>
    <w:bookmarkStart w:name="z55" w:id="51"/>
    <w:p>
      <w:pPr>
        <w:spacing w:after="0"/>
        <w:ind w:left="0"/>
        <w:jc w:val="both"/>
      </w:pPr>
      <w:r>
        <w:rPr>
          <w:rFonts w:ascii="Times New Roman"/>
          <w:b w:val="false"/>
          <w:i w:val="false"/>
          <w:color w:val="000000"/>
          <w:sz w:val="28"/>
        </w:rPr>
        <w:t>
</w:t>
      </w:r>
      <w:r>
        <w:drawing>
          <wp:inline distT="0" distB="0" distL="0" distR="0">
            <wp:extent cx="2527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27300" cy="660400"/>
                    </a:xfrm>
                    <a:prstGeom prst="rect">
                      <a:avLst/>
                    </a:prstGeom>
                  </pic:spPr>
                </pic:pic>
              </a:graphicData>
            </a:graphic>
          </wp:inline>
        </w:drawing>
      </w:r>
    </w:p>
    <w:bookmarkEnd w:id="51"/>
    <w:bookmarkStart w:name="z56" w:id="52"/>
    <w:p>
      <w:pPr>
        <w:spacing w:after="0"/>
        <w:ind w:left="0"/>
        <w:jc w:val="both"/>
      </w:pPr>
      <w:r>
        <w:rPr>
          <w:rFonts w:ascii="Times New Roman"/>
          <w:b w:val="false"/>
          <w:i w:val="false"/>
          <w:color w:val="000000"/>
          <w:sz w:val="28"/>
        </w:rPr>
        <w:t>
            где:</w:t>
      </w:r>
    </w:p>
    <w:bookmarkEnd w:id="52"/>
    <w:bookmarkStart w:name="z57" w:id="53"/>
    <w:p>
      <w:pPr>
        <w:spacing w:after="0"/>
        <w:ind w:left="0"/>
        <w:jc w:val="both"/>
      </w:pPr>
      <w:r>
        <w:rPr>
          <w:rFonts w:ascii="Times New Roman"/>
          <w:b w:val="false"/>
          <w:i w:val="false"/>
          <w:color w:val="000000"/>
          <w:sz w:val="28"/>
        </w:rPr>
        <w:t xml:space="preserve">
      ?– вес, с которым учитывается отклонение численности населения города районного значения, поселка, сельских округов от среднерайонного уровня; </w:t>
      </w:r>
    </w:p>
    <w:bookmarkEnd w:id="53"/>
    <w:bookmarkStart w:name="z58" w:id="54"/>
    <w:p>
      <w:pPr>
        <w:spacing w:after="0"/>
        <w:ind w:left="0"/>
        <w:jc w:val="both"/>
      </w:pPr>
      <w:r>
        <w:rPr>
          <w:rFonts w:ascii="Times New Roman"/>
          <w:b w:val="false"/>
          <w:i w:val="false"/>
          <w:color w:val="000000"/>
          <w:sz w:val="28"/>
        </w:rPr>
        <w:t>
</w:t>
      </w:r>
      <w:r>
        <w:drawing>
          <wp:inline distT="0" distB="0" distL="0" distR="0">
            <wp:extent cx="444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44500" cy="292100"/>
                    </a:xfrm>
                    <a:prstGeom prst="rect">
                      <a:avLst/>
                    </a:prstGeom>
                  </pic:spPr>
                </pic:pic>
              </a:graphicData>
            </a:graphic>
          </wp:inline>
        </w:drawing>
      </w:r>
    </w:p>
    <w:bookmarkEnd w:id="54"/>
    <w:bookmarkStart w:name="z59" w:id="55"/>
    <w:p>
      <w:pPr>
        <w:spacing w:after="0"/>
        <w:ind w:left="0"/>
        <w:jc w:val="both"/>
      </w:pPr>
      <w:r>
        <w:rPr>
          <w:rFonts w:ascii="Times New Roman"/>
          <w:b w:val="false"/>
          <w:i w:val="false"/>
          <w:color w:val="000000"/>
          <w:sz w:val="28"/>
        </w:rPr>
        <w:t>
            – средняя прогнозная численность населения одного города районного значения, поселка, сельского округа;</w:t>
      </w:r>
    </w:p>
    <w:bookmarkEnd w:id="55"/>
    <w:bookmarkStart w:name="z60" w:id="56"/>
    <w:p>
      <w:pPr>
        <w:spacing w:after="0"/>
        <w:ind w:left="0"/>
        <w:jc w:val="both"/>
      </w:pPr>
      <w:r>
        <w:rPr>
          <w:rFonts w:ascii="Times New Roman"/>
          <w:b w:val="false"/>
          <w:i w:val="false"/>
          <w:color w:val="000000"/>
          <w:sz w:val="28"/>
        </w:rPr>
        <w:t>
      Нас</w:t>
      </w:r>
      <w:r>
        <w:rPr>
          <w:rFonts w:ascii="Times New Roman"/>
          <w:b w:val="false"/>
          <w:i w:val="false"/>
          <w:color w:val="000000"/>
          <w:vertAlign w:val="superscript"/>
        </w:rPr>
        <w:t>i</w:t>
      </w:r>
      <w:r>
        <w:rPr>
          <w:rFonts w:ascii="Times New Roman"/>
          <w:b w:val="false"/>
          <w:i w:val="false"/>
          <w:color w:val="000000"/>
          <w:sz w:val="28"/>
        </w:rPr>
        <w:t xml:space="preserve"> – прогнозная численность населения в i-й города районного значения, поселка, сельских округов.</w:t>
      </w:r>
    </w:p>
    <w:bookmarkEnd w:id="56"/>
    <w:bookmarkStart w:name="z61" w:id="57"/>
    <w:p>
      <w:pPr>
        <w:spacing w:after="0"/>
        <w:ind w:left="0"/>
        <w:jc w:val="both"/>
      </w:pPr>
      <w:r>
        <w:rPr>
          <w:rFonts w:ascii="Times New Roman"/>
          <w:b w:val="false"/>
          <w:i w:val="false"/>
          <w:color w:val="000000"/>
          <w:sz w:val="28"/>
        </w:rPr>
        <w:t>
      Коэффициент масштаба учитывает эффект масштаба, отражающий снижение объема затрат на предоставление государственных услуг в расчете на одного потребителя с ростом численности потребителей;</w:t>
      </w:r>
    </w:p>
    <w:bookmarkEnd w:id="57"/>
    <w:bookmarkStart w:name="z62" w:id="58"/>
    <w:p>
      <w:pPr>
        <w:spacing w:after="0"/>
        <w:ind w:left="0"/>
        <w:jc w:val="both"/>
      </w:pPr>
      <w:r>
        <w:rPr>
          <w:rFonts w:ascii="Times New Roman"/>
          <w:b w:val="false"/>
          <w:i w:val="false"/>
          <w:color w:val="000000"/>
          <w:sz w:val="28"/>
        </w:rPr>
        <w:t>
      4) коэффициент учета надбавок за работу в сельской местности:</w:t>
      </w:r>
    </w:p>
    <w:bookmarkEnd w:id="58"/>
    <w:bookmarkStart w:name="z63" w:id="59"/>
    <w:p>
      <w:pPr>
        <w:spacing w:after="0"/>
        <w:ind w:left="0"/>
        <w:jc w:val="both"/>
      </w:pPr>
      <w:r>
        <w:rPr>
          <w:rFonts w:ascii="Times New Roman"/>
          <w:b w:val="false"/>
          <w:i w:val="false"/>
          <w:color w:val="000000"/>
          <w:sz w:val="28"/>
        </w:rPr>
        <w:t>
</w:t>
      </w:r>
      <w:r>
        <w:drawing>
          <wp:inline distT="0" distB="0" distL="0" distR="0">
            <wp:extent cx="2692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92400" cy="596900"/>
                    </a:xfrm>
                    <a:prstGeom prst="rect">
                      <a:avLst/>
                    </a:prstGeom>
                  </pic:spPr>
                </pic:pic>
              </a:graphicData>
            </a:graphic>
          </wp:inline>
        </w:drawing>
      </w:r>
    </w:p>
    <w:bookmarkEnd w:id="59"/>
    <w:bookmarkStart w:name="z64" w:id="60"/>
    <w:p>
      <w:pPr>
        <w:spacing w:after="0"/>
        <w:ind w:left="0"/>
        <w:jc w:val="both"/>
      </w:pPr>
      <w:r>
        <w:rPr>
          <w:rFonts w:ascii="Times New Roman"/>
          <w:b w:val="false"/>
          <w:i w:val="false"/>
          <w:color w:val="000000"/>
          <w:sz w:val="28"/>
        </w:rPr>
        <w:t>
            где:</w:t>
      </w:r>
    </w:p>
    <w:bookmarkEnd w:id="60"/>
    <w:bookmarkStart w:name="z65" w:id="61"/>
    <w:p>
      <w:pPr>
        <w:spacing w:after="0"/>
        <w:ind w:left="0"/>
        <w:jc w:val="both"/>
      </w:pPr>
      <w:r>
        <w:rPr>
          <w:rFonts w:ascii="Times New Roman"/>
          <w:b w:val="false"/>
          <w:i w:val="false"/>
          <w:color w:val="000000"/>
          <w:sz w:val="28"/>
        </w:rPr>
        <w:t>
      Нас</w:t>
      </w:r>
      <w:r>
        <w:rPr>
          <w:rFonts w:ascii="Times New Roman"/>
          <w:b w:val="false"/>
          <w:i w:val="false"/>
          <w:color w:val="000000"/>
          <w:vertAlign w:val="superscript"/>
        </w:rPr>
        <w:t>i</w:t>
      </w:r>
      <w:r>
        <w:rPr>
          <w:rFonts w:ascii="Times New Roman"/>
          <w:b w:val="false"/>
          <w:i w:val="false"/>
          <w:color w:val="000000"/>
          <w:sz w:val="28"/>
        </w:rPr>
        <w:t>сельск – прогнозная численность сельского населения i-ом города районного значения, поселка, сельских округов.</w:t>
      </w:r>
    </w:p>
    <w:bookmarkEnd w:id="61"/>
    <w:bookmarkStart w:name="z66" w:id="62"/>
    <w:p>
      <w:pPr>
        <w:spacing w:after="0"/>
        <w:ind w:left="0"/>
        <w:jc w:val="both"/>
      </w:pPr>
      <w:r>
        <w:rPr>
          <w:rFonts w:ascii="Times New Roman"/>
          <w:b w:val="false"/>
          <w:i w:val="false"/>
          <w:color w:val="000000"/>
          <w:sz w:val="28"/>
        </w:rPr>
        <w:t>
</w:t>
      </w: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330200"/>
                    </a:xfrm>
                    <a:prstGeom prst="rect">
                      <a:avLst/>
                    </a:prstGeom>
                  </pic:spPr>
                </pic:pic>
              </a:graphicData>
            </a:graphic>
          </wp:inline>
        </w:drawing>
      </w:r>
    </w:p>
    <w:bookmarkEnd w:id="62"/>
    <w:bookmarkStart w:name="z67" w:id="63"/>
    <w:p>
      <w:pPr>
        <w:spacing w:after="0"/>
        <w:ind w:left="0"/>
        <w:jc w:val="both"/>
      </w:pPr>
      <w:r>
        <w:rPr>
          <w:rFonts w:ascii="Times New Roman"/>
          <w:b w:val="false"/>
          <w:i w:val="false"/>
          <w:color w:val="000000"/>
          <w:sz w:val="28"/>
        </w:rPr>
        <w:t>
            – доля заработной платы в общем объеме текущих затрат по j-й функциональной подгруппе (в сумме города районного значения, поселка, сельских округов)</w:t>
      </w:r>
    </w:p>
    <w:bookmarkEnd w:id="63"/>
    <w:bookmarkStart w:name="z68" w:id="64"/>
    <w:p>
      <w:pPr>
        <w:spacing w:after="0"/>
        <w:ind w:left="0"/>
        <w:jc w:val="both"/>
      </w:pPr>
      <w:r>
        <w:rPr>
          <w:rFonts w:ascii="Times New Roman"/>
          <w:b w:val="false"/>
          <w:i w:val="false"/>
          <w:color w:val="000000"/>
          <w:sz w:val="28"/>
        </w:rPr>
        <w:t>
      Коэффициент учета надбавок за работу в сельской местности учитывает потребность в дополнительных расходах на заработную плату в сельской местности по отдельным функциональным подгруппам;</w:t>
      </w:r>
    </w:p>
    <w:bookmarkEnd w:id="64"/>
    <w:bookmarkStart w:name="z69" w:id="65"/>
    <w:p>
      <w:pPr>
        <w:spacing w:after="0"/>
        <w:ind w:left="0"/>
        <w:jc w:val="both"/>
      </w:pPr>
      <w:r>
        <w:rPr>
          <w:rFonts w:ascii="Times New Roman"/>
          <w:b w:val="false"/>
          <w:i w:val="false"/>
          <w:color w:val="000000"/>
          <w:sz w:val="28"/>
        </w:rPr>
        <w:t>
      5) коэффициент плотности:</w:t>
      </w:r>
    </w:p>
    <w:bookmarkEnd w:id="65"/>
    <w:bookmarkStart w:name="z70" w:id="66"/>
    <w:p>
      <w:pPr>
        <w:spacing w:after="0"/>
        <w:ind w:left="0"/>
        <w:jc w:val="both"/>
      </w:pPr>
      <w:r>
        <w:rPr>
          <w:rFonts w:ascii="Times New Roman"/>
          <w:b w:val="false"/>
          <w:i w:val="false"/>
          <w:color w:val="000000"/>
          <w:sz w:val="28"/>
        </w:rPr>
        <w:t>
</w:t>
      </w:r>
      <w:r>
        <w:drawing>
          <wp:inline distT="0" distB="0" distL="0" distR="0">
            <wp:extent cx="1485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485900" cy="635000"/>
                    </a:xfrm>
                    <a:prstGeom prst="rect">
                      <a:avLst/>
                    </a:prstGeom>
                  </pic:spPr>
                </pic:pic>
              </a:graphicData>
            </a:graphic>
          </wp:inline>
        </w:drawing>
      </w:r>
    </w:p>
    <w:bookmarkEnd w:id="66"/>
    <w:bookmarkStart w:name="z71" w:id="67"/>
    <w:p>
      <w:pPr>
        <w:spacing w:after="0"/>
        <w:ind w:left="0"/>
        <w:jc w:val="both"/>
      </w:pPr>
      <w:r>
        <w:rPr>
          <w:rFonts w:ascii="Times New Roman"/>
          <w:b w:val="false"/>
          <w:i w:val="false"/>
          <w:color w:val="000000"/>
          <w:sz w:val="28"/>
        </w:rPr>
        <w:t>
            где:</w:t>
      </w:r>
    </w:p>
    <w:bookmarkEnd w:id="67"/>
    <w:bookmarkStart w:name="z72" w:id="68"/>
    <w:p>
      <w:pPr>
        <w:spacing w:after="0"/>
        <w:ind w:left="0"/>
        <w:jc w:val="both"/>
      </w:pPr>
      <w:r>
        <w:rPr>
          <w:rFonts w:ascii="Times New Roman"/>
          <w:b w:val="false"/>
          <w:i w:val="false"/>
          <w:color w:val="000000"/>
          <w:sz w:val="28"/>
        </w:rPr>
        <w:t>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279400"/>
                    </a:xfrm>
                    <a:prstGeom prst="rect">
                      <a:avLst/>
                    </a:prstGeom>
                  </pic:spPr>
                </pic:pic>
              </a:graphicData>
            </a:graphic>
          </wp:inline>
        </w:drawing>
      </w:r>
    </w:p>
    <w:bookmarkEnd w:id="68"/>
    <w:bookmarkStart w:name="z73" w:id="69"/>
    <w:p>
      <w:pPr>
        <w:spacing w:after="0"/>
        <w:ind w:left="0"/>
        <w:jc w:val="both"/>
      </w:pPr>
      <w:r>
        <w:rPr>
          <w:rFonts w:ascii="Times New Roman"/>
          <w:b w:val="false"/>
          <w:i w:val="false"/>
          <w:color w:val="000000"/>
          <w:sz w:val="28"/>
        </w:rPr>
        <w:t>
            – плотность населения в среднем по району;</w:t>
      </w:r>
    </w:p>
    <w:bookmarkEnd w:id="69"/>
    <w:bookmarkStart w:name="z74" w:id="70"/>
    <w:p>
      <w:pPr>
        <w:spacing w:after="0"/>
        <w:ind w:left="0"/>
        <w:jc w:val="both"/>
      </w:pPr>
      <w:r>
        <w:rPr>
          <w:rFonts w:ascii="Times New Roman"/>
          <w:b w:val="false"/>
          <w:i w:val="false"/>
          <w:color w:val="000000"/>
          <w:sz w:val="28"/>
        </w:rPr>
        <w:t>
      рi – плотность населения в i-ом города районного значения, поселка, сельских округов;</w:t>
      </w:r>
    </w:p>
    <w:bookmarkEnd w:id="70"/>
    <w:bookmarkStart w:name="z75" w:id="71"/>
    <w:p>
      <w:pPr>
        <w:spacing w:after="0"/>
        <w:ind w:left="0"/>
        <w:jc w:val="both"/>
      </w:pPr>
      <w:r>
        <w:rPr>
          <w:rFonts w:ascii="Times New Roman"/>
          <w:b w:val="false"/>
          <w:i w:val="false"/>
          <w:color w:val="000000"/>
          <w:sz w:val="28"/>
        </w:rPr>
        <w:t>
</w:t>
      </w: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15900" cy="292100"/>
                    </a:xfrm>
                    <a:prstGeom prst="rect">
                      <a:avLst/>
                    </a:prstGeom>
                  </pic:spPr>
                </pic:pic>
              </a:graphicData>
            </a:graphic>
          </wp:inline>
        </w:drawing>
      </w:r>
    </w:p>
    <w:bookmarkEnd w:id="71"/>
    <w:bookmarkStart w:name="z76" w:id="72"/>
    <w:p>
      <w:pPr>
        <w:spacing w:after="0"/>
        <w:ind w:left="0"/>
        <w:jc w:val="both"/>
      </w:pPr>
      <w:r>
        <w:rPr>
          <w:rFonts w:ascii="Times New Roman"/>
          <w:b w:val="false"/>
          <w:i w:val="false"/>
          <w:color w:val="000000"/>
          <w:sz w:val="28"/>
        </w:rPr>
        <w:t>
            – вес, с которым учитывается отклонение плотности населения города районного значения, поселка, сельских округов от среднерайонного уровня.</w:t>
      </w:r>
    </w:p>
    <w:bookmarkEnd w:id="72"/>
    <w:bookmarkStart w:name="z77" w:id="73"/>
    <w:p>
      <w:pPr>
        <w:spacing w:after="0"/>
        <w:ind w:left="0"/>
        <w:jc w:val="both"/>
      </w:pPr>
      <w:r>
        <w:rPr>
          <w:rFonts w:ascii="Times New Roman"/>
          <w:b w:val="false"/>
          <w:i w:val="false"/>
          <w:color w:val="000000"/>
          <w:sz w:val="28"/>
        </w:rPr>
        <w:t>
      Коэффициент плотности учитывает увеличение затрат бюджетов города районного значения, поселка, сельских округов в связи с уменьшением плотности населения региона;</w:t>
      </w:r>
    </w:p>
    <w:bookmarkEnd w:id="73"/>
    <w:bookmarkStart w:name="z78" w:id="74"/>
    <w:p>
      <w:pPr>
        <w:spacing w:after="0"/>
        <w:ind w:left="0"/>
        <w:jc w:val="both"/>
      </w:pPr>
      <w:r>
        <w:rPr>
          <w:rFonts w:ascii="Times New Roman"/>
          <w:b w:val="false"/>
          <w:i w:val="false"/>
          <w:color w:val="000000"/>
          <w:sz w:val="28"/>
        </w:rPr>
        <w:t>
      6) коэффициент содержания дорог:</w:t>
      </w:r>
    </w:p>
    <w:bookmarkEnd w:id="74"/>
    <w:bookmarkStart w:name="z79" w:id="75"/>
    <w:p>
      <w:pPr>
        <w:spacing w:after="0"/>
        <w:ind w:left="0"/>
        <w:jc w:val="both"/>
      </w:pPr>
      <w:r>
        <w:rPr>
          <w:rFonts w:ascii="Times New Roman"/>
          <w:b w:val="false"/>
          <w:i w:val="false"/>
          <w:color w:val="000000"/>
          <w:sz w:val="28"/>
        </w:rPr>
        <w:t>
</w:t>
      </w:r>
      <w:r>
        <w:drawing>
          <wp:inline distT="0" distB="0" distL="0" distR="0">
            <wp:extent cx="1270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70000" cy="622300"/>
                    </a:xfrm>
                    <a:prstGeom prst="rect">
                      <a:avLst/>
                    </a:prstGeom>
                  </pic:spPr>
                </pic:pic>
              </a:graphicData>
            </a:graphic>
          </wp:inline>
        </w:drawing>
      </w:r>
    </w:p>
    <w:bookmarkEnd w:id="75"/>
    <w:bookmarkStart w:name="z80" w:id="76"/>
    <w:p>
      <w:pPr>
        <w:spacing w:after="0"/>
        <w:ind w:left="0"/>
        <w:jc w:val="both"/>
      </w:pPr>
      <w:r>
        <w:rPr>
          <w:rFonts w:ascii="Times New Roman"/>
          <w:b w:val="false"/>
          <w:i w:val="false"/>
          <w:color w:val="000000"/>
          <w:sz w:val="28"/>
        </w:rPr>
        <w:t>
            где:</w:t>
      </w:r>
    </w:p>
    <w:bookmarkEnd w:id="76"/>
    <w:bookmarkStart w:name="z81" w:id="77"/>
    <w:p>
      <w:pPr>
        <w:spacing w:after="0"/>
        <w:ind w:left="0"/>
        <w:jc w:val="both"/>
      </w:pPr>
      <w:r>
        <w:rPr>
          <w:rFonts w:ascii="Times New Roman"/>
          <w:b w:val="false"/>
          <w:i w:val="false"/>
          <w:color w:val="000000"/>
          <w:sz w:val="28"/>
        </w:rPr>
        <w:t>
      Ni – норматив финансирования на содержание автомобильных дорог местного значения i-ом города районного значения, поселка, сельских округов, утверждаемый в соответствии с подпунктом 38) </w:t>
      </w:r>
      <w:r>
        <w:rPr>
          <w:rFonts w:ascii="Times New Roman"/>
          <w:b w:val="false"/>
          <w:i w:val="false"/>
          <w:color w:val="000000"/>
          <w:sz w:val="28"/>
        </w:rPr>
        <w:t>пункта 2</w:t>
      </w:r>
      <w:r>
        <w:rPr>
          <w:rFonts w:ascii="Times New Roman"/>
          <w:b w:val="false"/>
          <w:i w:val="false"/>
          <w:color w:val="000000"/>
          <w:sz w:val="28"/>
        </w:rPr>
        <w:t xml:space="preserve"> статьи 12 Закона Республики Казахстан от 17 июля 2001 года "Об автомобильных дорогах".</w:t>
      </w:r>
    </w:p>
    <w:bookmarkEnd w:id="77"/>
    <w:bookmarkStart w:name="z82" w:id="78"/>
    <w:p>
      <w:pPr>
        <w:spacing w:after="0"/>
        <w:ind w:left="0"/>
        <w:jc w:val="both"/>
      </w:pPr>
      <w:r>
        <w:rPr>
          <w:rFonts w:ascii="Times New Roman"/>
          <w:b w:val="false"/>
          <w:i w:val="false"/>
          <w:color w:val="000000"/>
          <w:sz w:val="28"/>
        </w:rPr>
        <w:t>
</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266700"/>
                    </a:xfrm>
                    <a:prstGeom prst="rect">
                      <a:avLst/>
                    </a:prstGeom>
                  </pic:spPr>
                </pic:pic>
              </a:graphicData>
            </a:graphic>
          </wp:inline>
        </w:drawing>
      </w:r>
    </w:p>
    <w:bookmarkEnd w:id="78"/>
    <w:bookmarkStart w:name="z83" w:id="79"/>
    <w:p>
      <w:pPr>
        <w:spacing w:after="0"/>
        <w:ind w:left="0"/>
        <w:jc w:val="both"/>
      </w:pPr>
      <w:r>
        <w:rPr>
          <w:rFonts w:ascii="Times New Roman"/>
          <w:b w:val="false"/>
          <w:i w:val="false"/>
          <w:color w:val="000000"/>
          <w:sz w:val="28"/>
        </w:rPr>
        <w:t>
            – норматив финансирования на содержание автомобильных дорог в среднем по району;</w:t>
      </w:r>
    </w:p>
    <w:bookmarkEnd w:id="79"/>
    <w:bookmarkStart w:name="z84" w:id="80"/>
    <w:p>
      <w:pPr>
        <w:spacing w:after="0"/>
        <w:ind w:left="0"/>
        <w:jc w:val="both"/>
      </w:pPr>
      <w:r>
        <w:rPr>
          <w:rFonts w:ascii="Times New Roman"/>
          <w:b w:val="false"/>
          <w:i w:val="false"/>
          <w:color w:val="000000"/>
          <w:sz w:val="28"/>
        </w:rPr>
        <w:t>
      7) коэффициент учета бедности (на основе доли лиц с доходами ниже прожиточного минимума):</w:t>
      </w:r>
    </w:p>
    <w:bookmarkEnd w:id="80"/>
    <w:bookmarkStart w:name="z85" w:id="81"/>
    <w:p>
      <w:pPr>
        <w:spacing w:after="0"/>
        <w:ind w:left="0"/>
        <w:jc w:val="both"/>
      </w:pPr>
      <w:r>
        <w:rPr>
          <w:rFonts w:ascii="Times New Roman"/>
          <w:b w:val="false"/>
          <w:i w:val="false"/>
          <w:color w:val="000000"/>
          <w:sz w:val="28"/>
        </w:rPr>
        <w:t>
</w:t>
      </w:r>
      <w:r>
        <w:drawing>
          <wp:inline distT="0" distB="0" distL="0" distR="0">
            <wp:extent cx="1435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435100" cy="660400"/>
                    </a:xfrm>
                    <a:prstGeom prst="rect">
                      <a:avLst/>
                    </a:prstGeom>
                  </pic:spPr>
                </pic:pic>
              </a:graphicData>
            </a:graphic>
          </wp:inline>
        </w:drawing>
      </w:r>
    </w:p>
    <w:bookmarkEnd w:id="81"/>
    <w:bookmarkStart w:name="z86" w:id="82"/>
    <w:p>
      <w:pPr>
        <w:spacing w:after="0"/>
        <w:ind w:left="0"/>
        <w:jc w:val="both"/>
      </w:pPr>
      <w:r>
        <w:rPr>
          <w:rFonts w:ascii="Times New Roman"/>
          <w:b w:val="false"/>
          <w:i w:val="false"/>
          <w:color w:val="000000"/>
          <w:sz w:val="28"/>
        </w:rPr>
        <w:t>
            где:</w:t>
      </w:r>
    </w:p>
    <w:bookmarkEnd w:id="82"/>
    <w:bookmarkStart w:name="z87" w:id="83"/>
    <w:p>
      <w:pPr>
        <w:spacing w:after="0"/>
        <w:ind w:left="0"/>
        <w:jc w:val="both"/>
      </w:pPr>
      <w:r>
        <w:rPr>
          <w:rFonts w:ascii="Times New Roman"/>
          <w:b w:val="false"/>
          <w:i w:val="false"/>
          <w:color w:val="000000"/>
          <w:sz w:val="28"/>
        </w:rPr>
        <w:t>
      b</w:t>
      </w:r>
      <w:r>
        <w:rPr>
          <w:rFonts w:ascii="Times New Roman"/>
          <w:b w:val="false"/>
          <w:i w:val="false"/>
          <w:color w:val="000000"/>
          <w:vertAlign w:val="superscript"/>
        </w:rPr>
        <w:t>i</w:t>
      </w:r>
      <w:r>
        <w:rPr>
          <w:rFonts w:ascii="Times New Roman"/>
          <w:b w:val="false"/>
          <w:i w:val="false"/>
          <w:color w:val="000000"/>
          <w:sz w:val="28"/>
        </w:rPr>
        <w:t xml:space="preserve"> – доля населения с доходами ниже величины прожиточного минимума в общей численности населения в i-ом города районного значения, поселка, сельских округов.</w:t>
      </w:r>
    </w:p>
    <w:bookmarkEnd w:id="83"/>
    <w:bookmarkStart w:name="z88" w:id="84"/>
    <w:p>
      <w:pPr>
        <w:spacing w:after="0"/>
        <w:ind w:left="0"/>
        <w:jc w:val="both"/>
      </w:pPr>
      <w:r>
        <w:rPr>
          <w:rFonts w:ascii="Times New Roman"/>
          <w:b w:val="false"/>
          <w:i w:val="false"/>
          <w:color w:val="000000"/>
          <w:sz w:val="28"/>
        </w:rPr>
        <w:t>
      Коэффициент учета бедности учитывает увеличение затрат бюджетов города районного значения, поселка, сельских округов, на выплату социальной помощи в связи с ростом доли населения с доходами ниже величины прожиточного минимума;</w:t>
      </w:r>
    </w:p>
    <w:bookmarkEnd w:id="84"/>
    <w:bookmarkStart w:name="z89" w:id="85"/>
    <w:p>
      <w:pPr>
        <w:spacing w:after="0"/>
        <w:ind w:left="0"/>
        <w:jc w:val="both"/>
      </w:pPr>
      <w:r>
        <w:rPr>
          <w:rFonts w:ascii="Times New Roman"/>
          <w:b w:val="false"/>
          <w:i w:val="false"/>
          <w:color w:val="000000"/>
          <w:sz w:val="28"/>
        </w:rPr>
        <w:t>
      8) коэффициент учета продолжительности отопительного сезона:</w:t>
      </w:r>
    </w:p>
    <w:bookmarkEnd w:id="85"/>
    <w:bookmarkStart w:name="z90" w:id="86"/>
    <w:p>
      <w:pPr>
        <w:spacing w:after="0"/>
        <w:ind w:left="0"/>
        <w:jc w:val="both"/>
      </w:pPr>
      <w:r>
        <w:rPr>
          <w:rFonts w:ascii="Times New Roman"/>
          <w:b w:val="false"/>
          <w:i w:val="false"/>
          <w:color w:val="000000"/>
          <w:sz w:val="28"/>
        </w:rPr>
        <w:t>
</w:t>
      </w:r>
      <w:r>
        <w:drawing>
          <wp:inline distT="0" distB="0" distL="0" distR="0">
            <wp:extent cx="1879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879600" cy="647700"/>
                    </a:xfrm>
                    <a:prstGeom prst="rect">
                      <a:avLst/>
                    </a:prstGeom>
                  </pic:spPr>
                </pic:pic>
              </a:graphicData>
            </a:graphic>
          </wp:inline>
        </w:drawing>
      </w:r>
    </w:p>
    <w:bookmarkEnd w:id="86"/>
    <w:bookmarkStart w:name="z91" w:id="87"/>
    <w:p>
      <w:pPr>
        <w:spacing w:after="0"/>
        <w:ind w:left="0"/>
        <w:jc w:val="both"/>
      </w:pPr>
      <w:r>
        <w:rPr>
          <w:rFonts w:ascii="Times New Roman"/>
          <w:b w:val="false"/>
          <w:i w:val="false"/>
          <w:color w:val="000000"/>
          <w:sz w:val="28"/>
        </w:rPr>
        <w:t>
                  где:</w:t>
      </w:r>
    </w:p>
    <w:bookmarkEnd w:id="87"/>
    <w:bookmarkStart w:name="z93" w:id="88"/>
    <w:p>
      <w:pPr>
        <w:spacing w:after="0"/>
        <w:ind w:left="0"/>
        <w:jc w:val="both"/>
      </w:pPr>
      <w:r>
        <w:rPr>
          <w:rFonts w:ascii="Times New Roman"/>
          <w:b w:val="false"/>
          <w:i w:val="false"/>
          <w:color w:val="000000"/>
          <w:sz w:val="28"/>
        </w:rPr>
        <w:t>
      d</w:t>
      </w:r>
      <w:r>
        <w:rPr>
          <w:rFonts w:ascii="Times New Roman"/>
          <w:b w:val="false"/>
          <w:i w:val="false"/>
          <w:color w:val="000000"/>
          <w:vertAlign w:val="superscript"/>
        </w:rPr>
        <w:t>i</w:t>
      </w:r>
      <w:r>
        <w:rPr>
          <w:rFonts w:ascii="Times New Roman"/>
          <w:b w:val="false"/>
          <w:i w:val="false"/>
          <w:color w:val="000000"/>
          <w:sz w:val="28"/>
        </w:rPr>
        <w:t xml:space="preserve"> – период отопительного сезона в i-ом города районного значения, поселка, сельских округов;</w:t>
      </w:r>
    </w:p>
    <w:bookmarkEnd w:id="88"/>
    <w:bookmarkStart w:name="z94" w:id="89"/>
    <w:p>
      <w:pPr>
        <w:spacing w:after="0"/>
        <w:ind w:left="0"/>
        <w:jc w:val="both"/>
      </w:pPr>
      <w:r>
        <w:rPr>
          <w:rFonts w:ascii="Times New Roman"/>
          <w:b w:val="false"/>
          <w:i w:val="false"/>
          <w:color w:val="000000"/>
          <w:sz w:val="28"/>
        </w:rPr>
        <w:t>
</w:t>
      </w: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304800"/>
                    </a:xfrm>
                    <a:prstGeom prst="rect">
                      <a:avLst/>
                    </a:prstGeom>
                  </pic:spPr>
                </pic:pic>
              </a:graphicData>
            </a:graphic>
          </wp:inline>
        </w:drawing>
      </w:r>
    </w:p>
    <w:bookmarkEnd w:id="89"/>
    <w:bookmarkStart w:name="z95" w:id="90"/>
    <w:p>
      <w:pPr>
        <w:spacing w:after="0"/>
        <w:ind w:left="0"/>
        <w:jc w:val="both"/>
      </w:pPr>
      <w:r>
        <w:rPr>
          <w:rFonts w:ascii="Times New Roman"/>
          <w:b w:val="false"/>
          <w:i w:val="false"/>
          <w:color w:val="000000"/>
          <w:sz w:val="28"/>
        </w:rPr>
        <w:t xml:space="preserve">
            – период отопительного сезона в среднем города районного значения, поселка, сельских округов; </w:t>
      </w:r>
    </w:p>
    <w:bookmarkEnd w:id="90"/>
    <w:bookmarkStart w:name="z96" w:id="91"/>
    <w:p>
      <w:pPr>
        <w:spacing w:after="0"/>
        <w:ind w:left="0"/>
        <w:jc w:val="both"/>
      </w:pPr>
      <w:r>
        <w:rPr>
          <w:rFonts w:ascii="Times New Roman"/>
          <w:b w:val="false"/>
          <w:i w:val="false"/>
          <w:color w:val="000000"/>
          <w:sz w:val="28"/>
        </w:rPr>
        <w:t>
</w:t>
      </w: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68300" cy="381000"/>
                    </a:xfrm>
                    <a:prstGeom prst="rect">
                      <a:avLst/>
                    </a:prstGeom>
                  </pic:spPr>
                </pic:pic>
              </a:graphicData>
            </a:graphic>
          </wp:inline>
        </w:drawing>
      </w:r>
    </w:p>
    <w:bookmarkEnd w:id="91"/>
    <w:bookmarkStart w:name="z97" w:id="92"/>
    <w:p>
      <w:pPr>
        <w:spacing w:after="0"/>
        <w:ind w:left="0"/>
        <w:jc w:val="both"/>
      </w:pPr>
      <w:r>
        <w:rPr>
          <w:rFonts w:ascii="Times New Roman"/>
          <w:b w:val="false"/>
          <w:i w:val="false"/>
          <w:color w:val="000000"/>
          <w:sz w:val="28"/>
        </w:rPr>
        <w:t>
            – доля затрат на отопление в общем объеме текущих затрат бюджетов города районного значения, поселка, сельских округов.</w:t>
      </w:r>
    </w:p>
    <w:bookmarkEnd w:id="92"/>
    <w:bookmarkStart w:name="z98" w:id="93"/>
    <w:p>
      <w:pPr>
        <w:spacing w:after="0"/>
        <w:ind w:left="0"/>
        <w:jc w:val="both"/>
      </w:pPr>
      <w:r>
        <w:rPr>
          <w:rFonts w:ascii="Times New Roman"/>
          <w:b w:val="false"/>
          <w:i w:val="false"/>
          <w:color w:val="000000"/>
          <w:sz w:val="28"/>
        </w:rPr>
        <w:t>
      Коэффициент учета продолжительности отопительного сезона учитывает зависимость затрат бюджетов района на отопление от продолжительности отопительного сезона района.</w:t>
      </w:r>
    </w:p>
    <w:bookmarkEnd w:id="93"/>
    <w:bookmarkStart w:name="z99" w:id="94"/>
    <w:p>
      <w:pPr>
        <w:spacing w:after="0"/>
        <w:ind w:left="0"/>
        <w:jc w:val="both"/>
      </w:pPr>
      <w:r>
        <w:rPr>
          <w:rFonts w:ascii="Times New Roman"/>
          <w:b w:val="false"/>
          <w:i w:val="false"/>
          <w:color w:val="000000"/>
          <w:sz w:val="28"/>
        </w:rPr>
        <w:t>
      12. За расчетную базу прогнозирования объема текущих затрат районных бюджетов последующих двух годов принимаются прогнозные объемы текущих затрат районных бюджетов первого года трехлетнего периода с учетом индекса потребительских цен.</w:t>
      </w:r>
    </w:p>
    <w:bookmarkEnd w:id="94"/>
    <w:bookmarkStart w:name="z100" w:id="95"/>
    <w:p>
      <w:pPr>
        <w:spacing w:after="0"/>
        <w:ind w:left="0"/>
        <w:jc w:val="left"/>
      </w:pPr>
      <w:r>
        <w:rPr>
          <w:rFonts w:ascii="Times New Roman"/>
          <w:b/>
          <w:i w:val="false"/>
          <w:color w:val="000000"/>
        </w:rPr>
        <w:t xml:space="preserve"> 
Глава 4. Расчет прогнозных объемов затрат капитального характера бюджетов города районного значения, поселка, сельских округов</w:t>
      </w:r>
    </w:p>
    <w:bookmarkEnd w:id="95"/>
    <w:bookmarkStart w:name="z101" w:id="96"/>
    <w:p>
      <w:pPr>
        <w:spacing w:after="0"/>
        <w:ind w:left="0"/>
        <w:jc w:val="both"/>
      </w:pPr>
      <w:r>
        <w:rPr>
          <w:rFonts w:ascii="Times New Roman"/>
          <w:b w:val="false"/>
          <w:i w:val="false"/>
          <w:color w:val="000000"/>
          <w:sz w:val="28"/>
        </w:rPr>
        <w:t>
      13. Общий прогнозный объем средств, предусматриваемых для финансирования затрат капитального характера, определяется с разбивкой по годам в соответствии с процентным отношением к общему объему финансирования текущих затрат города районного значения, поселка, сельских округов.</w:t>
      </w:r>
    </w:p>
    <w:bookmarkEnd w:id="96"/>
    <w:bookmarkStart w:name="z102" w:id="97"/>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капитального характера, города районного значения, поселка, сельских округов производится по следующей формуле:</w:t>
      </w:r>
    </w:p>
    <w:bookmarkEnd w:id="97"/>
    <w:bookmarkStart w:name="z103" w:id="98"/>
    <w:p>
      <w:pPr>
        <w:spacing w:after="0"/>
        <w:ind w:left="0"/>
        <w:jc w:val="both"/>
      </w:pPr>
      <w:r>
        <w:rPr>
          <w:rFonts w:ascii="Times New Roman"/>
          <w:b w:val="false"/>
          <w:i w:val="false"/>
          <w:color w:val="000000"/>
          <w:sz w:val="28"/>
        </w:rPr>
        <w:t>
      КЗi = k * РЗi,</w:t>
      </w:r>
    </w:p>
    <w:bookmarkEnd w:id="98"/>
    <w:bookmarkStart w:name="z104" w:id="99"/>
    <w:p>
      <w:pPr>
        <w:spacing w:after="0"/>
        <w:ind w:left="0"/>
        <w:jc w:val="both"/>
      </w:pPr>
      <w:r>
        <w:rPr>
          <w:rFonts w:ascii="Times New Roman"/>
          <w:b w:val="false"/>
          <w:i w:val="false"/>
          <w:color w:val="000000"/>
          <w:sz w:val="28"/>
        </w:rPr>
        <w:t>
      где:</w:t>
      </w:r>
    </w:p>
    <w:bookmarkEnd w:id="99"/>
    <w:bookmarkStart w:name="z105" w:id="100"/>
    <w:p>
      <w:pPr>
        <w:spacing w:after="0"/>
        <w:ind w:left="0"/>
        <w:jc w:val="both"/>
      </w:pPr>
      <w:r>
        <w:rPr>
          <w:rFonts w:ascii="Times New Roman"/>
          <w:b w:val="false"/>
          <w:i w:val="false"/>
          <w:color w:val="000000"/>
          <w:sz w:val="28"/>
        </w:rPr>
        <w:t>
      КЗi – расчетные затраты капитального характера i-й города районного значения, поселка, сельских округов</w:t>
      </w:r>
    </w:p>
    <w:bookmarkEnd w:id="100"/>
    <w:bookmarkStart w:name="z106" w:id="101"/>
    <w:p>
      <w:pPr>
        <w:spacing w:after="0"/>
        <w:ind w:left="0"/>
        <w:jc w:val="both"/>
      </w:pPr>
      <w:r>
        <w:rPr>
          <w:rFonts w:ascii="Times New Roman"/>
          <w:b w:val="false"/>
          <w:i w:val="false"/>
          <w:color w:val="000000"/>
          <w:sz w:val="28"/>
        </w:rPr>
        <w:t>
      РЗi – расчетные текущие затраты i-го города районного значения, поселка, сельских округов;</w:t>
      </w:r>
    </w:p>
    <w:bookmarkEnd w:id="101"/>
    <w:bookmarkStart w:name="z107" w:id="102"/>
    <w:p>
      <w:pPr>
        <w:spacing w:after="0"/>
        <w:ind w:left="0"/>
        <w:jc w:val="both"/>
      </w:pPr>
      <w:r>
        <w:rPr>
          <w:rFonts w:ascii="Times New Roman"/>
          <w:b w:val="false"/>
          <w:i w:val="false"/>
          <w:color w:val="000000"/>
          <w:sz w:val="28"/>
        </w:rPr>
        <w:t>
      k – величина процентного отношения затрат капитального характера к общему объему текущих затрат.</w:t>
      </w:r>
    </w:p>
    <w:bookmarkEnd w:id="102"/>
    <w:bookmarkStart w:name="z108" w:id="103"/>
    <w:p>
      <w:pPr>
        <w:spacing w:after="0"/>
        <w:ind w:left="0"/>
        <w:jc w:val="both"/>
      </w:pPr>
      <w:r>
        <w:rPr>
          <w:rFonts w:ascii="Times New Roman"/>
          <w:b w:val="false"/>
          <w:i w:val="false"/>
          <w:color w:val="000000"/>
          <w:sz w:val="28"/>
        </w:rPr>
        <w:t>
      Величина коэффициента k для определения объемов трансфертов общего характера между районным бюджетом и бюджетами города районного значения, поселка, сельских округов устанавливается решением районной бюджетной комиссии.</w:t>
      </w:r>
    </w:p>
    <w:bookmarkEnd w:id="103"/>
    <w:bookmarkStart w:name="z109" w:id="104"/>
    <w:p>
      <w:pPr>
        <w:spacing w:after="0"/>
        <w:ind w:left="0"/>
        <w:jc w:val="left"/>
      </w:pPr>
      <w:r>
        <w:rPr>
          <w:rFonts w:ascii="Times New Roman"/>
          <w:b/>
          <w:i w:val="false"/>
          <w:color w:val="000000"/>
        </w:rPr>
        <w:t xml:space="preserve"> 
Глава 5. Расчет прогнозных объемов затрат по бюджетным программам развития бюджетов города районного значения, поселка, сельских округов</w:t>
      </w:r>
    </w:p>
    <w:bookmarkEnd w:id="104"/>
    <w:bookmarkStart w:name="z110" w:id="105"/>
    <w:p>
      <w:pPr>
        <w:spacing w:after="0"/>
        <w:ind w:left="0"/>
        <w:jc w:val="both"/>
      </w:pPr>
      <w:r>
        <w:rPr>
          <w:rFonts w:ascii="Times New Roman"/>
          <w:b w:val="false"/>
          <w:i w:val="false"/>
          <w:color w:val="000000"/>
          <w:sz w:val="28"/>
        </w:rPr>
        <w:t>
      14. Общий прогнозный объем средств, предусматриваемых для финансирования затрат по бюджетным программам развития, определяется с разбивкой по годам в процентном соотношении к прогнозному объему доходов города районного значения, поселка, сельских округов.</w:t>
      </w:r>
    </w:p>
    <w:bookmarkEnd w:id="105"/>
    <w:bookmarkStart w:name="z111" w:id="106"/>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по бюджетным программам развития, города районного значения, поселка, сельских округов производится по следующей формуле:</w:t>
      </w:r>
    </w:p>
    <w:bookmarkEnd w:id="106"/>
    <w:bookmarkStart w:name="z112" w:id="107"/>
    <w:p>
      <w:pPr>
        <w:spacing w:after="0"/>
        <w:ind w:left="0"/>
        <w:jc w:val="both"/>
      </w:pPr>
      <w:r>
        <w:rPr>
          <w:rFonts w:ascii="Times New Roman"/>
          <w:b w:val="false"/>
          <w:i w:val="false"/>
          <w:color w:val="000000"/>
          <w:sz w:val="28"/>
        </w:rPr>
        <w:t>
      ЗБПРi = (r1 * РЗi) + (r2 * ПОДi),</w:t>
      </w:r>
    </w:p>
    <w:bookmarkEnd w:id="107"/>
    <w:bookmarkStart w:name="z113" w:id="108"/>
    <w:p>
      <w:pPr>
        <w:spacing w:after="0"/>
        <w:ind w:left="0"/>
        <w:jc w:val="both"/>
      </w:pPr>
      <w:r>
        <w:rPr>
          <w:rFonts w:ascii="Times New Roman"/>
          <w:b w:val="false"/>
          <w:i w:val="false"/>
          <w:color w:val="000000"/>
          <w:sz w:val="28"/>
        </w:rPr>
        <w:t>
      где:</w:t>
      </w:r>
    </w:p>
    <w:bookmarkEnd w:id="108"/>
    <w:bookmarkStart w:name="z114" w:id="109"/>
    <w:p>
      <w:pPr>
        <w:spacing w:after="0"/>
        <w:ind w:left="0"/>
        <w:jc w:val="both"/>
      </w:pPr>
      <w:r>
        <w:rPr>
          <w:rFonts w:ascii="Times New Roman"/>
          <w:b w:val="false"/>
          <w:i w:val="false"/>
          <w:color w:val="000000"/>
          <w:sz w:val="28"/>
        </w:rPr>
        <w:t>
      ЗБПРi – расчетные затраты по бюджетным программам развития i-го города районного значения, поселка, сельских округов;</w:t>
      </w:r>
    </w:p>
    <w:bookmarkEnd w:id="109"/>
    <w:bookmarkStart w:name="z115" w:id="110"/>
    <w:p>
      <w:pPr>
        <w:spacing w:after="0"/>
        <w:ind w:left="0"/>
        <w:jc w:val="both"/>
      </w:pPr>
      <w:r>
        <w:rPr>
          <w:rFonts w:ascii="Times New Roman"/>
          <w:b w:val="false"/>
          <w:i w:val="false"/>
          <w:color w:val="000000"/>
          <w:sz w:val="28"/>
        </w:rPr>
        <w:t>
      РЗi – расчетные текущие затраты i-го города районного значения, поселка, сельских округов;</w:t>
      </w:r>
    </w:p>
    <w:bookmarkEnd w:id="110"/>
    <w:bookmarkStart w:name="z116" w:id="111"/>
    <w:p>
      <w:pPr>
        <w:spacing w:after="0"/>
        <w:ind w:left="0"/>
        <w:jc w:val="both"/>
      </w:pPr>
      <w:r>
        <w:rPr>
          <w:rFonts w:ascii="Times New Roman"/>
          <w:b w:val="false"/>
          <w:i w:val="false"/>
          <w:color w:val="000000"/>
          <w:sz w:val="28"/>
        </w:rPr>
        <w:t>
      ПОДi – прогнозные объемы доходов i-го города районного значения, поселка, сельских округов;</w:t>
      </w:r>
    </w:p>
    <w:bookmarkEnd w:id="111"/>
    <w:bookmarkStart w:name="z117" w:id="112"/>
    <w:p>
      <w:pPr>
        <w:spacing w:after="0"/>
        <w:ind w:left="0"/>
        <w:jc w:val="both"/>
      </w:pPr>
      <w:r>
        <w:rPr>
          <w:rFonts w:ascii="Times New Roman"/>
          <w:b w:val="false"/>
          <w:i w:val="false"/>
          <w:color w:val="000000"/>
          <w:sz w:val="28"/>
        </w:rPr>
        <w:t>
      r1 – величина процентного отношения затрат по бюджетным программам развития к общему объему текущих затрат;</w:t>
      </w:r>
    </w:p>
    <w:bookmarkEnd w:id="112"/>
    <w:bookmarkStart w:name="z118" w:id="113"/>
    <w:p>
      <w:pPr>
        <w:spacing w:after="0"/>
        <w:ind w:left="0"/>
        <w:jc w:val="both"/>
      </w:pPr>
      <w:r>
        <w:rPr>
          <w:rFonts w:ascii="Times New Roman"/>
          <w:b w:val="false"/>
          <w:i w:val="false"/>
          <w:color w:val="000000"/>
          <w:sz w:val="28"/>
        </w:rPr>
        <w:t>
      r2 – величина процентного отношения затрат по бюджетным программам развития к прогнозному объему доходов бюджетов города районного значения, поселка, сельских округов.</w:t>
      </w:r>
    </w:p>
    <w:bookmarkEnd w:id="113"/>
    <w:bookmarkStart w:name="z119" w:id="114"/>
    <w:p>
      <w:pPr>
        <w:spacing w:after="0"/>
        <w:ind w:left="0"/>
        <w:jc w:val="both"/>
      </w:pPr>
      <w:r>
        <w:rPr>
          <w:rFonts w:ascii="Times New Roman"/>
          <w:b w:val="false"/>
          <w:i w:val="false"/>
          <w:color w:val="000000"/>
          <w:sz w:val="28"/>
        </w:rPr>
        <w:t>
      15. Величина коэффициентов r1 и r2 устанавливаются для определения объемов трансфертов общего характера между районным бюджетом и бюджетами города районного значения, поселка, сельских округов решением районной бюджетной комиссии.</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0" w:id="115"/>
          <w:p>
            <w:pPr>
              <w:spacing w:after="20"/>
              <w:ind w:left="20"/>
              <w:jc w:val="both"/>
            </w:pPr>
            <w:r>
              <w:rPr>
                <w:rFonts w:ascii="Times New Roman"/>
                <w:b w:val="false"/>
                <w:i w:val="false"/>
                <w:color w:val="000000"/>
                <w:sz w:val="20"/>
              </w:rPr>
              <w:t>
Приложение к</w:t>
            </w:r>
            <w:r>
              <w:br/>
            </w:r>
            <w:r>
              <w:rPr>
                <w:rFonts w:ascii="Times New Roman"/>
                <w:b w:val="false"/>
                <w:i w:val="false"/>
                <w:color w:val="000000"/>
                <w:sz w:val="20"/>
              </w:rPr>
              <w:t>
Правилам расчетов прогнозных</w:t>
            </w:r>
            <w:r>
              <w:br/>
            </w:r>
            <w:r>
              <w:rPr>
                <w:rFonts w:ascii="Times New Roman"/>
                <w:b w:val="false"/>
                <w:i w:val="false"/>
                <w:color w:val="000000"/>
                <w:sz w:val="20"/>
              </w:rPr>
              <w:t>
объемов</w:t>
            </w:r>
            <w:r>
              <w:br/>
            </w:r>
            <w:r>
              <w:rPr>
                <w:rFonts w:ascii="Times New Roman"/>
                <w:b w:val="false"/>
                <w:i w:val="false"/>
                <w:color w:val="000000"/>
                <w:sz w:val="20"/>
              </w:rPr>
              <w:t>
доходов и затрат бюджетов</w:t>
            </w:r>
            <w:r>
              <w:br/>
            </w:r>
            <w:r>
              <w:rPr>
                <w:rFonts w:ascii="Times New Roman"/>
                <w:b w:val="false"/>
                <w:i w:val="false"/>
                <w:color w:val="000000"/>
                <w:sz w:val="20"/>
              </w:rPr>
              <w:t>
города районного значения,</w:t>
            </w:r>
            <w:r>
              <w:br/>
            </w:r>
            <w:r>
              <w:rPr>
                <w:rFonts w:ascii="Times New Roman"/>
                <w:b w:val="false"/>
                <w:i w:val="false"/>
                <w:color w:val="000000"/>
                <w:sz w:val="20"/>
              </w:rPr>
              <w:t>
поселка, сельских округов</w:t>
            </w:r>
          </w:p>
          <w:bookmarkEnd w:id="115"/>
        </w:tc>
      </w:tr>
    </w:tbl>
    <w:bookmarkStart w:name="z121" w:id="116"/>
    <w:p>
      <w:pPr>
        <w:spacing w:after="0"/>
        <w:ind w:left="0"/>
        <w:jc w:val="left"/>
      </w:pPr>
      <w:r>
        <w:rPr>
          <w:rFonts w:ascii="Times New Roman"/>
          <w:b/>
          <w:i w:val="false"/>
          <w:color w:val="000000"/>
        </w:rPr>
        <w:t xml:space="preserve"> 
Перечень функциональных подгрупп, осуществляемых государственных функций, показателей и коэффициентов к ним</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2"/>
        <w:gridCol w:w="3510"/>
        <w:gridCol w:w="6228"/>
      </w:tblGrid>
      <w:tr>
        <w:trPr>
          <w:trHeight w:val="3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функциональных подгрупп</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Коэффициенты</w:t>
            </w:r>
          </w:p>
        </w:tc>
      </w:tr>
      <w:tr>
        <w:trPr>
          <w:trHeight w:val="3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Государственные услуги общего характера</w:t>
            </w:r>
          </w:p>
        </w:tc>
      </w:tr>
      <w:tr>
        <w:trPr>
          <w:trHeight w:val="3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 другие органы, выполняющие общие функции государственного управления</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Постоянная численность населения</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дисперсности расселения; плотности; масштаба;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Здравоохранение</w:t>
            </w:r>
          </w:p>
        </w:tc>
      </w:tr>
      <w:tr>
        <w:trPr>
          <w:trHeight w:val="3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здравоохранения</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Социальной помощи и социального обеспечения</w:t>
            </w:r>
          </w:p>
        </w:tc>
      </w:tr>
      <w:tr>
        <w:trPr>
          <w:trHeight w:val="3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Постоянная численность населения</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дисперсности расселения; учета бедности (на основе доли лиц с доходами ниже прожиточного минимума); учета надбавок за работу в сельской местности;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Жилищно-коммунальное хозяйство</w:t>
            </w:r>
          </w:p>
        </w:tc>
      </w:tr>
      <w:tr>
        <w:trPr>
          <w:trHeight w:val="3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площадь жилищного фонда (тыс. кв. метров)</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учета продолжительности отопительного сезона</w:t>
            </w:r>
          </w:p>
        </w:tc>
      </w:tr>
      <w:tr>
        <w:trPr>
          <w:trHeight w:val="3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w:t>
            </w:r>
          </w:p>
        </w:tc>
        <w:tc>
          <w:tcPr>
            <w:tcW w:w="3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Постоянная численность населения</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учета продолжительности отопительного сезона</w:t>
            </w:r>
          </w:p>
        </w:tc>
      </w:tr>
      <w:tr>
        <w:trPr>
          <w:trHeight w:val="3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населенных пунктов</w:t>
            </w:r>
          </w:p>
        </w:tc>
        <w:tc>
          <w:tcPr>
            <w:tcW w:w="0" w:type="auto"/>
            <w:vMerge/>
            <w:tcBorders>
              <w:top w:val="nil"/>
              <w:left w:val="single" w:color="cfcfcf" w:sz="5"/>
              <w:bottom w:val="single" w:color="cfcfcf" w:sz="5"/>
              <w:right w:val="single" w:color="cfcfcf" w:sz="5"/>
            </w:tcBorders>
          </w:tcP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Культура, спорт, туризм и информационное пространство</w:t>
            </w:r>
          </w:p>
        </w:tc>
      </w:tr>
      <w:tr>
        <w:trPr>
          <w:trHeight w:val="3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 культуры</w:t>
            </w:r>
          </w:p>
        </w:tc>
        <w:tc>
          <w:tcPr>
            <w:tcW w:w="3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Постоянная численность населения</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учета надбавок за работу в сельской местности; учета продолжительности отопительного сезона</w:t>
            </w:r>
          </w:p>
        </w:tc>
      </w:tr>
      <w:tr>
        <w:trPr>
          <w:trHeight w:val="3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0" w:type="auto"/>
            <w:vMerge/>
            <w:tcBorders>
              <w:top w:val="nil"/>
              <w:left w:val="single" w:color="cfcfcf" w:sz="5"/>
              <w:bottom w:val="single" w:color="cfcfcf" w:sz="5"/>
              <w:right w:val="single" w:color="cfcfcf" w:sz="5"/>
            </w:tcBorders>
          </w:tcP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учета надбавок за работу в сельской местности;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Транспорт и коммуникации</w:t>
            </w:r>
          </w:p>
        </w:tc>
      </w:tr>
      <w:tr>
        <w:trPr>
          <w:trHeight w:val="3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 транспорт</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автодорог местного значения, в том числе внутри населенных пунктов и улиц (километров)</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содержания дорог;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Прочие</w:t>
            </w:r>
          </w:p>
        </w:tc>
      </w:tr>
      <w:tr>
        <w:trPr>
          <w:trHeight w:val="3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Постоянная численность населения</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учета продолжительности отопительного сезона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