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d525" w14:textId="0e8d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сентября 2021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26), 27), 28), 29) и 30)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реализовывает принципы надлежащей лабораторной практики в соответствии с правилами, утвержденными уполномоченным органом в сфере технического регулирования;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(участвует в разработке) нормативно-методической базы в области надлежащей лабораторной практики;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подготавливает предложения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представляет руководству Министерства предложения по структуре и штатной численности Комитета;";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утверждает структуру и штатную численность территориальных подразделений Комитета;".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