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4ffe" w14:textId="cb34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23 сентября 2021 года № 328. Утратило силу постановлением акимата Кобдинского района Актюбинской области от 17 сентября 2025 года № 330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Кобдинского района Актюбинской области от 17.09.2025 № 330.</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(зарегистрирован в Реестре государственной регистрации нормативных правовых актов № 10068),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города районного значения, села, поселка,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экономики и бюджетного планирования"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курируещего заместителя акима района.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 328 от 23 сентября 2021</w:t>
            </w:r>
          </w:p>
        </w:tc>
      </w:tr>
    </w:tbl>
    <w:bookmarkStart w:name="z7" w:id="4"/>
    <w:p>
      <w:pPr>
        <w:spacing w:after="0"/>
        <w:ind w:left="0"/>
        <w:jc w:val="left"/>
      </w:pPr>
      <w:r>
        <w:rPr>
          <w:rFonts w:ascii="Times New Roman"/>
          <w:b/>
          <w:i w:val="false"/>
          <w:color w:val="000000"/>
        </w:rPr>
        <w:t xml:space="preserve"> Порядок расчетов прогнозных объемов доходов и затрат бюджетов города районного значения, села, поселка, сельского округа</w:t>
      </w:r>
    </w:p>
    <w:bookmarkEnd w:id="4"/>
    <w:bookmarkStart w:name="z8" w:id="5"/>
    <w:p>
      <w:pPr>
        <w:spacing w:after="0"/>
        <w:ind w:left="0"/>
        <w:jc w:val="left"/>
      </w:pPr>
      <w:r>
        <w:rPr>
          <w:rFonts w:ascii="Times New Roman"/>
          <w:b/>
          <w:i w:val="false"/>
          <w:color w:val="000000"/>
        </w:rPr>
        <w:t xml:space="preserve"> Глава 1. Основные положения</w:t>
      </w:r>
    </w:p>
    <w:bookmarkEnd w:id="5"/>
    <w:bookmarkStart w:name="z9" w:id="6"/>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города районного значения, села, поселка, сельского округа (далее – Порядок)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города районного значения, села, поселка, сельского округа.</w:t>
      </w:r>
    </w:p>
    <w:bookmarkEnd w:id="6"/>
    <w:bookmarkStart w:name="z10" w:id="7"/>
    <w:p>
      <w:pPr>
        <w:spacing w:after="0"/>
        <w:ind w:left="0"/>
        <w:jc w:val="left"/>
      </w:pPr>
      <w:r>
        <w:rPr>
          <w:rFonts w:ascii="Times New Roman"/>
          <w:b/>
          <w:i w:val="false"/>
          <w:color w:val="000000"/>
        </w:rPr>
        <w:t xml:space="preserve"> Глава 2. Определение прогнозных объемов доходов бюджетов города районного значения, села, поселка, сельского округа</w:t>
      </w:r>
    </w:p>
    <w:bookmarkEnd w:id="7"/>
    <w:bookmarkStart w:name="z11" w:id="8"/>
    <w:p>
      <w:pPr>
        <w:spacing w:after="0"/>
        <w:ind w:left="0"/>
        <w:jc w:val="both"/>
      </w:pPr>
      <w:r>
        <w:rPr>
          <w:rFonts w:ascii="Times New Roman"/>
          <w:b w:val="false"/>
          <w:i w:val="false"/>
          <w:color w:val="000000"/>
          <w:sz w:val="28"/>
        </w:rPr>
        <w:t xml:space="preserve">
      2. Прогнозные объемы доходов бюджетов города районного значения, села, поселка, сельского округа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8"/>
    <w:bookmarkStart w:name="z12" w:id="9"/>
    <w:p>
      <w:pPr>
        <w:spacing w:after="0"/>
        <w:ind w:left="0"/>
        <w:jc w:val="left"/>
      </w:pPr>
      <w:r>
        <w:rPr>
          <w:rFonts w:ascii="Times New Roman"/>
          <w:b/>
          <w:i w:val="false"/>
          <w:color w:val="000000"/>
        </w:rPr>
        <w:t xml:space="preserve"> Глава 3. Определение прогнозных объемов затрат бюджетов города районного значения, села, поселка, сельского округа</w:t>
      </w:r>
    </w:p>
    <w:bookmarkEnd w:id="9"/>
    <w:bookmarkStart w:name="z13" w:id="10"/>
    <w:p>
      <w:pPr>
        <w:spacing w:after="0"/>
        <w:ind w:left="0"/>
        <w:jc w:val="both"/>
      </w:pPr>
      <w:r>
        <w:rPr>
          <w:rFonts w:ascii="Times New Roman"/>
          <w:b w:val="false"/>
          <w:i w:val="false"/>
          <w:color w:val="000000"/>
          <w:sz w:val="28"/>
        </w:rPr>
        <w:t xml:space="preserve">
      3. Прогнозные объемы затрат бюджетов города районного значения, села, поселка, сельского округа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0"/>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14" w:id="11"/>
    <w:p>
      <w:pPr>
        <w:spacing w:after="0"/>
        <w:ind w:left="0"/>
        <w:jc w:val="left"/>
      </w:pPr>
      <w:r>
        <w:rPr>
          <w:rFonts w:ascii="Times New Roman"/>
          <w:b/>
          <w:i w:val="false"/>
          <w:color w:val="000000"/>
        </w:rPr>
        <w:t xml:space="preserve"> Глава 4. Расчет прогнозных объемов текущих затрат бюджетов города районного значения, села, поселка, сельского округа</w:t>
      </w:r>
    </w:p>
    <w:bookmarkEnd w:id="11"/>
    <w:bookmarkStart w:name="z15" w:id="12"/>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районным бюджетам города районного значения, села, поселка, сельского округа.</w:t>
      </w:r>
    </w:p>
    <w:bookmarkEnd w:id="12"/>
    <w:bookmarkStart w:name="z16" w:id="13"/>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города районного значения, села, поселка, сельского округа учитываются:</w:t>
      </w:r>
    </w:p>
    <w:bookmarkEnd w:id="1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города районного значения, села, поселка, сельского округа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города районного значения, села, поселка, сельского округа и вводимых в действие в планируемом периоде.</w:t>
      </w:r>
    </w:p>
    <w:bookmarkStart w:name="z17" w:id="14"/>
    <w:p>
      <w:pPr>
        <w:spacing w:after="0"/>
        <w:ind w:left="0"/>
        <w:jc w:val="both"/>
      </w:pPr>
      <w:r>
        <w:rPr>
          <w:rFonts w:ascii="Times New Roman"/>
          <w:b w:val="false"/>
          <w:i w:val="false"/>
          <w:color w:val="000000"/>
          <w:sz w:val="28"/>
        </w:rPr>
        <w:t>
      6. Из суммарного прогнозного объема текущих затрат бюджетов города районного значения, села, поселка, сельского округа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города районного значения, села, поселка, сельского округа.</w:t>
      </w:r>
    </w:p>
    <w:bookmarkEnd w:id="14"/>
    <w:bookmarkStart w:name="z18" w:id="1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города районного значения, села, поселка, сельского округа принимаются объемы текущих затрат в соответствии с уточненным планом года, предшествующего планируемому периоду.</w:t>
      </w:r>
    </w:p>
    <w:bookmarkEnd w:id="15"/>
    <w:bookmarkStart w:name="z19" w:id="16"/>
    <w:p>
      <w:pPr>
        <w:spacing w:after="0"/>
        <w:ind w:left="0"/>
        <w:jc w:val="both"/>
      </w:pPr>
      <w:r>
        <w:rPr>
          <w:rFonts w:ascii="Times New Roman"/>
          <w:b w:val="false"/>
          <w:i w:val="false"/>
          <w:color w:val="000000"/>
          <w:sz w:val="28"/>
        </w:rPr>
        <w:t>
      8. Расчет прогнозного объема текущих затрат бюджетов города районного значения, села, поселка, сельского округа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Порядку.</w:t>
      </w:r>
    </w:p>
    <w:bookmarkEnd w:id="16"/>
    <w:bookmarkStart w:name="z20" w:id="17"/>
    <w:p>
      <w:pPr>
        <w:spacing w:after="0"/>
        <w:ind w:left="0"/>
        <w:jc w:val="both"/>
      </w:pPr>
      <w:r>
        <w:rPr>
          <w:rFonts w:ascii="Times New Roman"/>
          <w:b w:val="false"/>
          <w:i w:val="false"/>
          <w:color w:val="000000"/>
          <w:sz w:val="28"/>
        </w:rPr>
        <w:t>
      9. Расчет текущих затрат отдельного города районного значения, села, поселка, сельского округа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PЗ</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расчетные текущие затраты i-го города районного значения, села, поселка, сельского округа по j-й функциональной подгруппе;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j</w:t>
      </w:r>
      <w:r>
        <w:rPr>
          <w:rFonts w:ascii="Times New Roman"/>
          <w:b w:val="false"/>
          <w:i w:val="false"/>
          <w:color w:val="000000"/>
          <w:sz w:val="28"/>
        </w:rPr>
        <w:t xml:space="preserve"> – суммарный прогнозный объем текущих затрат по бюджетам города районного значения, села, поселка, сельского округа всех регионов района по j-й функциональной подгруппе;</w:t>
      </w:r>
    </w:p>
    <w:p>
      <w:pPr>
        <w:spacing w:after="0"/>
        <w:ind w:left="0"/>
        <w:jc w:val="both"/>
      </w:pPr>
      <w:r>
        <w:rPr>
          <w:rFonts w:ascii="Times New Roman"/>
          <w:b w:val="false"/>
          <w:i w:val="false"/>
          <w:color w:val="000000"/>
          <w:sz w:val="28"/>
        </w:rPr>
        <w:t>
      П</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количество потребителей государственных услуг i-го города районного значения, села, поселка, сельского округа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85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учитывающие объективные факторы, которые обусловливают отличия в стоимости предоставления государственных услуг в i-го города районного значения, села, поселка, сельского округа по j-й функциональной подгруппе от среднерайонного уровня.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18"/>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гор</w:t>
      </w:r>
      <w:r>
        <w:rPr>
          <w:rFonts w:ascii="Times New Roman"/>
          <w:b w:val="false"/>
          <w:i w:val="false"/>
          <w:color w:val="000000"/>
          <w:sz w:val="28"/>
        </w:rPr>
        <w:t xml:space="preserve"> – прогнозная численность сельского населения i-му города районного значения, села, поселка, сельского округа;</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мелк</w:t>
      </w:r>
      <w:r>
        <w:rPr>
          <w:rFonts w:ascii="Times New Roman"/>
          <w:b w:val="false"/>
          <w:i w:val="false"/>
          <w:color w:val="000000"/>
          <w:sz w:val="28"/>
        </w:rPr>
        <w:t xml:space="preserve"> – прогнозная численность населения i-ом в городе районного значения, селе, поселке, сельском округе,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учета учащихся в малокомплектных школах: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116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Кол</w:t>
      </w:r>
      <w:r>
        <w:rPr>
          <w:rFonts w:ascii="Times New Roman"/>
          <w:b w:val="false"/>
          <w:i w:val="false"/>
          <w:color w:val="000000"/>
          <w:vertAlign w:val="superscript"/>
        </w:rPr>
        <w:t>i</w:t>
      </w:r>
      <w:r>
        <w:rPr>
          <w:rFonts w:ascii="Times New Roman"/>
          <w:b w:val="false"/>
          <w:i w:val="false"/>
          <w:color w:val="000000"/>
          <w:sz w:val="28"/>
        </w:rPr>
        <w:t xml:space="preserve"> – прогнозное количество учащихся в малокомплектных школах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Кол – общее прогнозное количество учащихся в школах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w:t>
      </w:r>
    </w:p>
    <w:p>
      <w:pPr>
        <w:spacing w:after="0"/>
        <w:ind w:left="0"/>
        <w:jc w:val="both"/>
      </w:pPr>
      <w:r>
        <w:rPr>
          <w:rFonts w:ascii="Times New Roman"/>
          <w:b w:val="false"/>
          <w:i w:val="false"/>
          <w:color w:val="000000"/>
          <w:sz w:val="28"/>
        </w:rPr>
        <w:t>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pPr>
        <w:spacing w:after="0"/>
        <w:ind w:left="0"/>
        <w:jc w:val="both"/>
      </w:pPr>
      <w:r>
        <w:rPr>
          <w:rFonts w:ascii="Times New Roman"/>
          <w:b w:val="false"/>
          <w:i w:val="false"/>
          <w:color w:val="000000"/>
          <w:sz w:val="28"/>
        </w:rPr>
        <w:t>
      4)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вес, с которым учитывается отклонение численности населения города районного значения, села, поселка, сельского округа от среднерайонного уровня;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прогнозная численность населения одного города районного значения, села, поселка, сельского округа;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5) коэффициент возрастной структуры населения: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группа</w:t>
      </w:r>
      <w:r>
        <w:rPr>
          <w:rFonts w:ascii="Times New Roman"/>
          <w:b w:val="false"/>
          <w:i w:val="false"/>
          <w:color w:val="000000"/>
          <w:sz w:val="28"/>
        </w:rPr>
        <w:t xml:space="preserve"> – прогнозная численность населения i-ом городе районного значения, селе, поселке, сельском округе по определенной возрастной группе;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p>
      <w:pPr>
        <w:spacing w:after="0"/>
        <w:ind w:left="0"/>
        <w:jc w:val="both"/>
      </w:pPr>
      <w:r>
        <w:rPr>
          <w:rFonts w:ascii="Times New Roman"/>
          <w:b w:val="false"/>
          <w:i w:val="false"/>
          <w:color w:val="000000"/>
          <w:sz w:val="28"/>
        </w:rPr>
        <w:t>
      6)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сельск</w:t>
      </w:r>
      <w:r>
        <w:rPr>
          <w:rFonts w:ascii="Times New Roman"/>
          <w:b w:val="false"/>
          <w:i w:val="false"/>
          <w:color w:val="000000"/>
          <w:sz w:val="28"/>
        </w:rPr>
        <w:t xml:space="preserve"> – прогнозная численность сельского населения i-ом городе районного значения, селе, поселке, сельском округе;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j</w:t>
      </w:r>
      <w:r>
        <w:rPr>
          <w:rFonts w:ascii="Times New Roman"/>
          <w:b w:val="false"/>
          <w:i w:val="false"/>
          <w:color w:val="000000"/>
          <w:sz w:val="28"/>
        </w:rPr>
        <w:t>– доля заработной платы в общем объеме текущих затрат по j-й функциональной подгруппе (в сумме по всем городам районного значения, селам, поселкам, сельским округам.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населения в среднем по району;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i</w:t>
      </w:r>
      <w:r>
        <w:rPr>
          <w:rFonts w:ascii="Times New Roman"/>
          <w:b w:val="false"/>
          <w:i w:val="false"/>
          <w:color w:val="000000"/>
          <w:sz w:val="28"/>
        </w:rPr>
        <w:t xml:space="preserve"> – плотность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w:t>
      </w:r>
    </w:p>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p>
      <w:pPr>
        <w:spacing w:after="0"/>
        <w:ind w:left="0"/>
        <w:jc w:val="both"/>
      </w:pPr>
      <w:r>
        <w:rPr>
          <w:rFonts w:ascii="Times New Roman"/>
          <w:b w:val="false"/>
          <w:i w:val="false"/>
          <w:color w:val="000000"/>
          <w:sz w:val="28"/>
        </w:rPr>
        <w:t>
      8) коэффициент содержания дорог: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норматив финансирования на содержание автомобильных дорог местного значения i-ом городе районного значения, селе, поселке, сельском округе;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 финансирования на содержание автомобильных дорог в среднем по району;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доля населения с доходами ниже величины прожиточного минимума в общей численности населения в i-ом городе районного значения, селе, поселке, сельском округе.</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района,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10)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период отопительного сезона в i-ом городе районного значения, селе, поселке, сельском округе;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 отопительного сезона в среднем по району; – доля затрат на отопление в общем объеме текущих затрат бюджетов города районного значения, села, поселка, сельского округа.</w:t>
      </w:r>
      <w:r>
        <w:br/>
      </w:r>
      <w:r>
        <w:rPr>
          <w:rFonts w:ascii="Times New Roman"/>
          <w:b w:val="false"/>
          <w:i w:val="false"/>
          <w:color w:val="000000"/>
          <w:sz w:val="28"/>
        </w:rPr>
        <w:t>
</w:t>
      </w:r>
      <w:r>
        <w:br/>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доля затрат на отопление в общем объеме текущих затрат бюджетов города районного значения, села, поселка, сельского округа.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w:t>
      </w:r>
    </w:p>
    <w:bookmarkStart w:name="z22"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города районного значения, села, поселка, сельского округа последующих двух годов принимаются прогнозные объемы текущих затрат бюджетов города районного значения, села, поселка, сельского округа первого года трехлетнего периода с учетом индекса потребительских цен.</w:t>
      </w:r>
    </w:p>
    <w:bookmarkEnd w:id="19"/>
    <w:bookmarkStart w:name="z23" w:id="20"/>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города районного значения, села, поселка, сельского округа</w:t>
      </w:r>
    </w:p>
    <w:bookmarkEnd w:id="20"/>
    <w:bookmarkStart w:name="z24" w:id="21"/>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села, поселка, сельского округа.</w:t>
      </w:r>
    </w:p>
    <w:bookmarkEnd w:id="2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села, поселка, сельского округа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села, поселка, сельского округа;</w:t>
      </w:r>
    </w:p>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w:t>
      </w:r>
    </w:p>
    <w:bookmarkStart w:name="z25" w:id="22"/>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города районного значения, села, поселка, сельского округа</w:t>
      </w:r>
    </w:p>
    <w:bookmarkEnd w:id="22"/>
    <w:bookmarkStart w:name="z26" w:id="23"/>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села, поселка, сельского округа.</w:t>
      </w:r>
    </w:p>
    <w:bookmarkEnd w:id="2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(r1 * РЗi)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села, поселка, сельского округа;</w:t>
      </w:r>
    </w:p>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p>
      <w:pPr>
        <w:spacing w:after="0"/>
        <w:ind w:left="0"/>
        <w:jc w:val="both"/>
      </w:pPr>
      <w:r>
        <w:rPr>
          <w:rFonts w:ascii="Times New Roman"/>
          <w:b w:val="false"/>
          <w:i w:val="false"/>
          <w:color w:val="000000"/>
          <w:sz w:val="28"/>
        </w:rPr>
        <w:t>
      ПОДi – прогнозные объемы доходов i-го города районного значения, села, поселка, сельского округа;</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города районного значения, села, поселка, сельского округа.</w:t>
      </w:r>
    </w:p>
    <w:bookmarkStart w:name="z27" w:id="24"/>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 сел, поселков, сельских округов решением районной бюджетной комиссии.</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