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cc71" w14:textId="444c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Есильском районе</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15 сентября 2021 года № а-9/196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Есильском районе.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Есильского района Касенова Б.Ж.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Есильского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Н.Саматов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15 сентября 2021 года</w:t>
            </w:r>
            <w:r>
              <w:br/>
            </w:r>
            <w:r>
              <w:rPr>
                <w:rFonts w:ascii="Times New Roman"/>
                <w:b w:val="false"/>
                <w:i w:val="false"/>
                <w:color w:val="000000"/>
                <w:sz w:val="20"/>
              </w:rPr>
              <w:t>№ а-9/196</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Есильском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Есильском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0"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2"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3"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4" w:id="1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5" w:id="1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3"/>
    <w:bookmarkStart w:name="z16" w:id="1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4"/>
    <w:bookmarkStart w:name="z17" w:id="1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5"/>
    <w:bookmarkStart w:name="z18" w:id="1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6"/>
    <w:bookmarkStart w:name="z19" w:id="1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7"/>
    <w:bookmarkStart w:name="z20"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bookmarkStart w:name="z21" w:id="1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19"/>
    <w:bookmarkStart w:name="z22" w:id="2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
    <w:bookmarkStart w:name="z23" w:id="2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4" w:id="2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2"/>
    <w:bookmarkStart w:name="z25" w:id="2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3"/>
    <w:bookmarkStart w:name="z26" w:id="2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4"/>
    <w:bookmarkStart w:name="z27"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28"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29" w:id="2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7"/>
    <w:bookmarkStart w:name="z30" w:id="28"/>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8"/>
    <w:bookmarkStart w:name="z31" w:id="29"/>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9"/>
    <w:bookmarkStart w:name="z32" w:id="30"/>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0"/>
    <w:bookmarkStart w:name="z33" w:id="31"/>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31"/>
    <w:bookmarkStart w:name="z34" w:id="32"/>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2"/>
    <w:bookmarkStart w:name="z35" w:id="3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6" w:id="3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4"/>
    <w:bookmarkStart w:name="z37" w:id="3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5"/>
    <w:bookmarkStart w:name="z38" w:id="3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6"/>
    <w:p>
      <w:pPr>
        <w:spacing w:after="0"/>
        <w:ind w:left="0"/>
        <w:jc w:val="left"/>
      </w:pPr>
      <w:r>
        <w:rPr>
          <w:rFonts w:ascii="Times New Roman"/>
          <w:b/>
          <w:i w:val="false"/>
          <w:color w:val="000000"/>
        </w:rPr>
        <w:t xml:space="preserve"> Глава 5. Порядок разрешения разногласий</w:t>
      </w:r>
    </w:p>
    <w:bookmarkStart w:name="z39" w:id="3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7"/>
    <w:bookmarkStart w:name="z40" w:id="3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1"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2" w:id="4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3" w:id="4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4" w:id="4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2"/>
    <w:bookmarkStart w:name="z45" w:id="4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