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932a" w14:textId="0139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Степняка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Степняка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города Степняка на 2022 год, используются свободные остатки бюджетных средств, образовавшиеся на 1 января 2022 года, в сумме 3 600,6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С-17/3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01.01.2022);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С-18/3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Степняка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Степняка района Биржан сал на 2022 год предусмотрен объем субвенции в сумме 28 769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города Степняка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города Степняка района Биржан сал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бюджета города Степняка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 город Степняк, улица Чапаева № 1-14,16,18,20; улица Биржан сал № 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