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7b2" w14:textId="a43b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31 марта 2021 года № 278 и Министра культуры и спорта Республики Казахстан от 31 марта 2021 года № 85. Утратил силу совместным приказом Министра финансов Республики Казахстан от 20 апреля 2026 года № 257 и Заместителя Премьер-министра – Министр культуры и информации Республики Казахстан от 11 июня 2026 года № 286-НҚ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20.04.2026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 культуры и информации РК от 11.06.2026 № 286-НҚ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19-4 статьи 26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и Министерству культуры и спорта Республики Казахстан обеспечить размещение настоящего совместного приказа на своих интернет-ресурсах.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подписания его последним из руководителей государственного органа.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Е. Жамаубаев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______________ А. Раимкулова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 (далее – Правила) разработаны в соответствии с пунктом 19-4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уполномоченным органом в области культуры (далее – Уполномоченный орган)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 (далее – Сведения).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течение месяца после вступления в силу настоящих Правил представляет Сведения в Комитет государственных доходов Министерства финансов Республики Казахстан (далее – Комитет) в виде электронного документа посредством системы электронного документооборота.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актуализации Сведений Уполномоченный орган направляет Сведения два раза в год по итогам первого полугодия, не позднее 10 июля и по итогам года, не позднее 10 января в виде электронного документа посредством системы электронного документооборота.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обновления Сведений Уполномоченный орган направляет в Комитет соответствующее уведомление.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заверяются электронной цифровой подписью заместителя руководителя государственного органа.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возникновения технических ошибок Сведения представляются на электронном носителе в формате "Microsoft Excel" по почте заказным письмом с уведомлением.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технических ошибок сведения предоставляются в соответствии с пунктом 2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Представляемые Сведения содержат в себе следующие данные: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объекта, включенного в Государственный реестр объектов национального культурного достояния (далее – ОНКД);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ОНКД (краткое описание, происхождение);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создания ОНКД;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ОНКД (наименование материала, размер, вес, количество);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местонахождение ОНКД;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фотография ОНКД;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реестровый номер;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собственника;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фамилия, имя, отчество (при наличии) собственника;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стоимость ОНКД (при наличии).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обеспечивает конфиденциальность информации, полученной в рамках настоящих Правил.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