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b7f3" w14:textId="feeb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Западно-Казахстанской области от 24 августа 2015 года № 234 "Об утверждении регламента государственной услуги "Учет иностранных периодических печатных изданий, распространяемых на территории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 марта 2016 года № 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24 марта 1998 года </w:t>
      </w:r>
      <w:r>
        <w:rPr>
          <w:rFonts w:ascii="Times New Roman"/>
          <w:b w:val="false"/>
          <w:i w:val="false"/>
          <w:color w:val="000000"/>
          <w:sz w:val="28"/>
        </w:rPr>
        <w:t>"О 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от 23 июля 1999 года </w:t>
      </w:r>
      <w:r>
        <w:rPr>
          <w:rFonts w:ascii="Times New Roman"/>
          <w:b w:val="false"/>
          <w:i w:val="false"/>
          <w:color w:val="000000"/>
          <w:sz w:val="28"/>
        </w:rPr>
        <w:t>"О средствах массовой информатизации"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24 августа 2015 года №234 "Об утверждении регламента государственной услуги "Учет иностранных периодических печатных изданий, распространяемых на территории Западно-Казахстанской области" (зарегистрированное в реестре государственной регистрации нормативных правовых актов за № 4052, опубликованное в информационно-правовой системе "Әділет" 13 октября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руководителя аппарата акима Западно-Казахстанской области Токжанова М.Л.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