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6695" w14:textId="a8a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02 марта 2016 года № 516-V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</w:t>
      </w:r>
      <w:r>
        <w:rPr>
          <w:rFonts w:ascii="Times New Roman"/>
          <w:b w:val="false"/>
          <w:i w:val="false"/>
          <w:color w:val="000000"/>
          <w:sz w:val="28"/>
        </w:rPr>
        <w:t>446-V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сентября 2015 года (зарегистрировано в реестре государственной регистрации нормативных правовых актов за № 3308, опубликовано 22 октября 2015 года в районной газете "Серпер")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№ </w:t>
      </w:r>
      <w:r>
        <w:rPr>
          <w:rFonts w:ascii="Times New Roman"/>
          <w:b w:val="false"/>
          <w:i w:val="false"/>
          <w:color w:val="000000"/>
          <w:sz w:val="28"/>
        </w:rPr>
        <w:t>474-V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2015 года (зарегистрировано в реестре государственной регистрации нормативных правовых актов за № 3418, опубликовано 23 января 2016 года в районной газете "Серпер") "О внесении изменений в решение районного маслихата от 15 сентября 2015 года № 446-V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опубликовать в районной газете "Серпер".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