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ed6f" w14:textId="c22e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районного акимата от 2 июня 2014 года № 289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финансируемых из бюджета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8 января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районного акимата от 2 июня 2014 года № </w:t>
      </w:r>
      <w:r>
        <w:rPr>
          <w:rFonts w:ascii="Times New Roman"/>
          <w:b w:val="false"/>
          <w:i w:val="false"/>
          <w:color w:val="000000"/>
          <w:sz w:val="28"/>
        </w:rPr>
        <w:t>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 и культуры являющихся гражданскими служащими и работающих в сельской местности, финансируемых из бюджета района" (зарегистрированное в реестре государственной регистрации нормативных правовых актов № 2933,официально опубликованный в газете "Серпер" 10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