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1afe" w14:textId="6521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Тимирязевского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30 сентября 2016 года № 5/5. Утратил силу решением Тимирязевского районного маслихата СевероКазахстанской области от 3 марта 2022 года № 10/8 (вводится в действие со дня его подписания)</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 силу решением Тимирязевского районного маслихата Северо-Казахстанской области от 03.03.2022 </w:t>
      </w:r>
      <w:r>
        <w:rPr>
          <w:rFonts w:ascii="Times New Roman"/>
          <w:b w:val="false"/>
          <w:i w:val="false"/>
          <w:color w:val="000000"/>
          <w:sz w:val="28"/>
        </w:rPr>
        <w:t>№ 10/8</w:t>
      </w:r>
      <w:r>
        <w:rPr>
          <w:rFonts w:ascii="Times New Roman"/>
          <w:b w:val="false"/>
          <w:i w:val="false"/>
          <w:color w:val="ff0000"/>
          <w:sz w:val="28"/>
        </w:rPr>
        <w:t xml:space="preserve"> (вводится в действие со дня его подписания).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Тимирязевский районный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регламент Тимирязевского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решения Тимирязевского районного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от 28 февраля 2014 года № 24/18 "</w:t>
      </w:r>
      <w:r>
        <w:rPr>
          <w:rFonts w:ascii="Times New Roman"/>
          <w:b w:val="false"/>
          <w:i w:val="false"/>
          <w:color w:val="000000"/>
          <w:sz w:val="28"/>
        </w:rPr>
        <w:t>Об утверждении регламента Тимирязевского районного маслихата</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2618 от 28 марта 2014 года, опубликовано 18 апреля 2014 года в районной газете "Көтерілген тың", 18 апреля 2014 года в районной газете "Нива");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от 25 декабря 2015 года № 44/6 "</w:t>
      </w:r>
      <w:r>
        <w:rPr>
          <w:rFonts w:ascii="Times New Roman"/>
          <w:b w:val="false"/>
          <w:i w:val="false"/>
          <w:color w:val="000000"/>
          <w:sz w:val="28"/>
        </w:rPr>
        <w:t>О внесении изменений в решение районного маслихата от 28 февраля 2014 года № 24/18 "Об утверждении регламента Тимирязевского районного маслихата</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3591 от 28 января 2016 года, опубликовано 13 февраля 2016 года в районной газете "Көтерілген тың", 13 февраля 2016 года в районной газете "Нива").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Настоящее решение вводится в действие со дня его подписания.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V сессии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Тимирязевского районного маслихата от 30 сентября 2016 года № 5/5</w:t>
            </w:r>
          </w:p>
        </w:tc>
      </w:tr>
    </w:tbl>
    <w:bookmarkStart w:name="z12" w:id="1"/>
    <w:p>
      <w:pPr>
        <w:spacing w:after="0"/>
        <w:ind w:left="0"/>
        <w:jc w:val="left"/>
      </w:pPr>
      <w:r>
        <w:rPr>
          <w:rFonts w:ascii="Times New Roman"/>
          <w:b/>
          <w:i w:val="false"/>
          <w:color w:val="000000"/>
        </w:rPr>
        <w:t xml:space="preserve"> Регламент Тимирязевского районного маслихата</w:t>
      </w:r>
    </w:p>
    <w:bookmarkEnd w:id="1"/>
    <w:bookmarkStart w:name="z13" w:id="2"/>
    <w:p>
      <w:pPr>
        <w:spacing w:after="0"/>
        <w:ind w:left="0"/>
        <w:jc w:val="left"/>
      </w:pPr>
      <w:r>
        <w:rPr>
          <w:rFonts w:ascii="Times New Roman"/>
          <w:b/>
          <w:i w:val="false"/>
          <w:color w:val="000000"/>
        </w:rPr>
        <w:t xml:space="preserve"> 1. Общие положения</w:t>
      </w:r>
    </w:p>
    <w:bookmarkEnd w:id="2"/>
    <w:p>
      <w:pPr>
        <w:spacing w:after="0"/>
        <w:ind w:left="0"/>
        <w:jc w:val="both"/>
      </w:pPr>
      <w:bookmarkStart w:name="z14" w:id="3"/>
      <w:r>
        <w:rPr>
          <w:rFonts w:ascii="Times New Roman"/>
          <w:b w:val="false"/>
          <w:i w:val="false"/>
          <w:color w:val="000000"/>
          <w:sz w:val="28"/>
        </w:rPr>
        <w:t xml:space="preserve">
      1. Настоящий регламент Тимирязевского районного маслихата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Тимирязевский районный маслихат (далее –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Маслихат не обладает правами юридического лица.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Деятельность маслихата регулируется Конституцией Республики Казахстан, Законом и иными нормативными правовыми актами Республики Казахстан.</w:t>
      </w:r>
    </w:p>
    <w:bookmarkStart w:name="z18" w:id="4"/>
    <w:p>
      <w:pPr>
        <w:spacing w:after="0"/>
        <w:ind w:left="0"/>
        <w:jc w:val="left"/>
      </w:pPr>
      <w:r>
        <w:rPr>
          <w:rFonts w:ascii="Times New Roman"/>
          <w:b/>
          <w:i w:val="false"/>
          <w:color w:val="000000"/>
        </w:rPr>
        <w:t xml:space="preserve"> 2. Порядок проведения сессии маслихата</w:t>
      </w:r>
    </w:p>
    <w:bookmarkEnd w:id="4"/>
    <w:p>
      <w:pPr>
        <w:spacing w:after="0"/>
        <w:ind w:left="0"/>
        <w:jc w:val="both"/>
      </w:pPr>
      <w:bookmarkStart w:name="z19" w:id="5"/>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Первую сессию маслихата открывает председатель избирательной комиссии, сообщает о результатах выборов депутатов маслихата и до избрания председателя сессии маслихата ведет сессию.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Тимирязевского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На сессии районного маслихата приглашаются аким Тимирязевского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48" w:id="6"/>
    <w:p>
      <w:pPr>
        <w:spacing w:after="0"/>
        <w:ind w:left="0"/>
        <w:jc w:val="left"/>
      </w:pPr>
      <w:r>
        <w:rPr>
          <w:rFonts w:ascii="Times New Roman"/>
          <w:b/>
          <w:i w:val="false"/>
          <w:color w:val="000000"/>
        </w:rPr>
        <w:t xml:space="preserve"> 3. Порядок принятия актов маслихата</w:t>
      </w:r>
    </w:p>
    <w:bookmarkEnd w:id="6"/>
    <w:p>
      <w:pPr>
        <w:spacing w:after="0"/>
        <w:ind w:left="0"/>
        <w:jc w:val="both"/>
      </w:pPr>
      <w:bookmarkStart w:name="z49" w:id="7"/>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Проект бюджета Тимирязевского района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Тимирязевского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Государственное учреждение "Отдел экономики и финансов Тимирязевского района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Тимирязевского района Северо-Казахстанской области, с приложением всех необходимых материалов.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Тимирязевского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При уточнении бюджета Тимирязевского района Северо-Казахстанской области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Start w:name="z78" w:id="8"/>
    <w:p>
      <w:pPr>
        <w:spacing w:after="0"/>
        <w:ind w:left="0"/>
        <w:jc w:val="left"/>
      </w:pPr>
      <w:r>
        <w:rPr>
          <w:rFonts w:ascii="Times New Roman"/>
          <w:b/>
          <w:i w:val="false"/>
          <w:color w:val="000000"/>
        </w:rPr>
        <w:t xml:space="preserve"> 4. Порядок заслушивания отчетов</w:t>
      </w:r>
    </w:p>
    <w:bookmarkEnd w:id="8"/>
    <w:p>
      <w:pPr>
        <w:spacing w:after="0"/>
        <w:ind w:left="0"/>
        <w:jc w:val="both"/>
      </w:pPr>
      <w:bookmarkStart w:name="z79" w:id="9"/>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Тимирязевского района Северо-Казахстанской области района.</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Маслихат заслушивает на сессии отчет акима Тимирязевского района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 акима Тимирязевского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Председатели сессий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Отчеты ревизионной комиссии Северо-Казахстанской области об исполнении бюджета рассматривается маслихатом ежегодно.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 маслихата представляется населению сел, сельских округов Тимирязевского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p>
    <w:bookmarkStart w:name="z89" w:id="10"/>
    <w:p>
      <w:pPr>
        <w:spacing w:after="0"/>
        <w:ind w:left="0"/>
        <w:jc w:val="left"/>
      </w:pPr>
      <w:r>
        <w:rPr>
          <w:rFonts w:ascii="Times New Roman"/>
          <w:b/>
          <w:i w:val="false"/>
          <w:color w:val="000000"/>
        </w:rPr>
        <w:t xml:space="preserve"> 5. Порядок рассмотрения запросов депутатов</w:t>
      </w:r>
    </w:p>
    <w:bookmarkEnd w:id="10"/>
    <w:p>
      <w:pPr>
        <w:spacing w:after="0"/>
        <w:ind w:left="0"/>
        <w:jc w:val="both"/>
      </w:pPr>
      <w:bookmarkStart w:name="z90" w:id="11"/>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96" w:id="12"/>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2"/>
    <w:bookmarkStart w:name="z97" w:id="13"/>
    <w:p>
      <w:pPr>
        <w:spacing w:after="0"/>
        <w:ind w:left="0"/>
        <w:jc w:val="left"/>
      </w:pPr>
      <w:r>
        <w:rPr>
          <w:rFonts w:ascii="Times New Roman"/>
          <w:b/>
          <w:i w:val="false"/>
          <w:color w:val="000000"/>
        </w:rPr>
        <w:t xml:space="preserve"> 6.1. Председатель сессии маслихата</w:t>
      </w:r>
    </w:p>
    <w:bookmarkEnd w:id="13"/>
    <w:p>
      <w:pPr>
        <w:spacing w:after="0"/>
        <w:ind w:left="0"/>
        <w:jc w:val="both"/>
      </w:pPr>
      <w:bookmarkStart w:name="z98" w:id="14"/>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Председатель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принимает решение о созыве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Start w:name="z109" w:id="15"/>
    <w:p>
      <w:pPr>
        <w:spacing w:after="0"/>
        <w:ind w:left="0"/>
        <w:jc w:val="left"/>
      </w:pPr>
      <w:r>
        <w:rPr>
          <w:rFonts w:ascii="Times New Roman"/>
          <w:b/>
          <w:i w:val="false"/>
          <w:color w:val="000000"/>
        </w:rPr>
        <w:t xml:space="preserve"> 6.2. Секретарь маслихата</w:t>
      </w:r>
    </w:p>
    <w:bookmarkEnd w:id="15"/>
    <w:p>
      <w:pPr>
        <w:spacing w:after="0"/>
        <w:ind w:left="0"/>
        <w:jc w:val="both"/>
      </w:pPr>
      <w:bookmarkStart w:name="z110" w:id="16"/>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Start w:name="z116" w:id="17"/>
    <w:p>
      <w:pPr>
        <w:spacing w:after="0"/>
        <w:ind w:left="0"/>
        <w:jc w:val="left"/>
      </w:pPr>
      <w:r>
        <w:rPr>
          <w:rFonts w:ascii="Times New Roman"/>
          <w:b/>
          <w:i w:val="false"/>
          <w:color w:val="000000"/>
        </w:rPr>
        <w:t xml:space="preserve"> 6.3. Постоянные и временные комиссии маслихата</w:t>
      </w:r>
    </w:p>
    <w:bookmarkEnd w:id="17"/>
    <w:p>
      <w:pPr>
        <w:spacing w:after="0"/>
        <w:ind w:left="0"/>
        <w:jc w:val="both"/>
      </w:pPr>
      <w:bookmarkStart w:name="z117" w:id="18"/>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Количество постоянных комиссий не должно превышать семи.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Постоянные комиссии могут образовывать рабочие группы.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134" w:id="19"/>
    <w:p>
      <w:pPr>
        <w:spacing w:after="0"/>
        <w:ind w:left="0"/>
        <w:jc w:val="left"/>
      </w:pPr>
      <w:r>
        <w:rPr>
          <w:rFonts w:ascii="Times New Roman"/>
          <w:b/>
          <w:i w:val="false"/>
          <w:color w:val="000000"/>
        </w:rPr>
        <w:t xml:space="preserve"> 6.4. Редакционная и счетная комиссии маслихата</w:t>
      </w:r>
    </w:p>
    <w:bookmarkEnd w:id="19"/>
    <w:p>
      <w:pPr>
        <w:spacing w:after="0"/>
        <w:ind w:left="0"/>
        <w:jc w:val="both"/>
      </w:pPr>
      <w:bookmarkStart w:name="z135" w:id="20"/>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Редакционная комиссия может избираться и на очередную сессию.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142" w:id="21"/>
    <w:p>
      <w:pPr>
        <w:spacing w:after="0"/>
        <w:ind w:left="0"/>
        <w:jc w:val="left"/>
      </w:pPr>
      <w:r>
        <w:rPr>
          <w:rFonts w:ascii="Times New Roman"/>
          <w:b/>
          <w:i w:val="false"/>
          <w:color w:val="000000"/>
        </w:rPr>
        <w:t xml:space="preserve"> 6.5. Депутатские объединения в маслихатах</w:t>
      </w:r>
    </w:p>
    <w:bookmarkEnd w:id="21"/>
    <w:p>
      <w:pPr>
        <w:spacing w:after="0"/>
        <w:ind w:left="0"/>
        <w:jc w:val="both"/>
      </w:pPr>
      <w:bookmarkStart w:name="z143" w:id="22"/>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Секретарь маслихата не может входить в депутатские объединения.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Фракция должна объединять не менее пяти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составе депутатской группы должно быть не менее пяти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Члены депутатских объединений могут: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предлагать поправки к проектам решений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w:t>
      </w:r>
    </w:p>
    <w:bookmarkStart w:name="z155" w:id="23"/>
    <w:p>
      <w:pPr>
        <w:spacing w:after="0"/>
        <w:ind w:left="0"/>
        <w:jc w:val="left"/>
      </w:pPr>
      <w:r>
        <w:rPr>
          <w:rFonts w:ascii="Times New Roman"/>
          <w:b/>
          <w:i w:val="false"/>
          <w:color w:val="000000"/>
        </w:rPr>
        <w:t xml:space="preserve"> 7. Депутатская этика</w:t>
      </w:r>
    </w:p>
    <w:bookmarkEnd w:id="23"/>
    <w:p>
      <w:pPr>
        <w:spacing w:after="0"/>
        <w:ind w:left="0"/>
        <w:jc w:val="both"/>
      </w:pPr>
      <w:bookmarkStart w:name="z156" w:id="24"/>
      <w:r>
        <w:rPr>
          <w:rFonts w:ascii="Times New Roman"/>
          <w:b w:val="false"/>
          <w:i w:val="false"/>
          <w:color w:val="000000"/>
          <w:sz w:val="28"/>
        </w:rPr>
        <w:t>
      59. Депутаты маслихата:</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не должны призывать к незаконным и насильственным действиям;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не должны прерывать выступающих.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Start w:name="z167" w:id="25"/>
    <w:p>
      <w:pPr>
        <w:spacing w:after="0"/>
        <w:ind w:left="0"/>
        <w:jc w:val="left"/>
      </w:pPr>
      <w:r>
        <w:rPr>
          <w:rFonts w:ascii="Times New Roman"/>
          <w:b/>
          <w:i w:val="false"/>
          <w:color w:val="000000"/>
        </w:rPr>
        <w:t xml:space="preserve"> 8. Организация работы аппарата маслихата</w:t>
      </w:r>
    </w:p>
    <w:bookmarkEnd w:id="25"/>
    <w:p>
      <w:pPr>
        <w:spacing w:after="0"/>
        <w:ind w:left="0"/>
        <w:jc w:val="both"/>
      </w:pPr>
      <w:bookmarkStart w:name="z168" w:id="26"/>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 об аппарате маслихата утверждается маслихатом.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