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cb8b" w14:textId="20fc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маслихата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марта 2015 года № 21-6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марта 2015 года № 21-6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решении маслихата</w:t>
      </w:r>
      <w:r>
        <w:br/>
      </w:r>
      <w:r>
        <w:rPr>
          <w:rFonts w:ascii="Times New Roman"/>
          <w:b/>
          <w:i w:val="false"/>
          <w:color w:val="000000"/>
        </w:rPr>
        <w:t>Бокейординского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 декабря 2013 года № 14-2 "О бюджете Бокейординского района на 2014-2016 годы" (зарегистрировано в Реестре государственной регистрации нормативных правовых актов № 3402, опубликовано 15 февраля 2014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 марта 2014 года № 15-4 "О 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2014 года" (зарегистрировано в Реестре государственной регистрации нормативных правовых актов № 3487, опубликовано 26 апреля 2014 года в газете "Орда жұлдызы").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 апреля 2014 года № 17-1 "О внесении изменений в решение Бокейординского районного маслихата от 27 декабря 2013 года № 14-2 "О бюджете Бокейординского района на 2014-2016 годы"" (зарегистрировано в Реестре государственной регистрации нормативных правовых актов № 3520, опубликовано 19 июля 2014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7 октября 2014 года № 19-1 "О внесении изменений в решение Бокейординского районного маслихата от 27 декабря 2013 года № 14-2 "О бюджете Бокейординского района на 2014-2016 годы"" (зарегистрировано в Реестре государственной регистрации нормативных правовых актов № 3651, опубликовано 8 ноября 2014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7 октября 2014 года № 19-2 "О внесении изменения в решение Бокейординского маслихата от 12 марта 2014 года № 15-4 "О 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2014 год"" (зарегистрировано в Реестре государственной регистрации нормативных правовых актов № 3652, опубликовано 22 ноября 2014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2014 года № 20-1 "О внесении изменений в решение Бокейординского районного маслихата от 27 декабря 2013 года № 14-2 "О бюджете Бокейординского района на 2014-2016 годы"" (зарегистрировано в Реестре государственной регистрации нормативных правовых актов № 3739, опубликовано 20 января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