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b91" w14:textId="6ea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города Атырау, Жылыойского, Макатского и Махамбетского районов Атырауской области для акционерного общества "Каспийский трубопроводный консорциум-К" для размещения и эксплуатации линейной части участка 130,3-217,2(116-204) км магистрального нефтепровода "Тенгиз-Новороссийск"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августа 2015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общей площадью 870,2493 гектара на территории города Атырау, Жылыойского, Макатского и Махамбетского районов Атырауской области для акционерного общества "Каспийский трубопроводный консорциум-К" (далее – АО "КТК-К") для размещения и эксплуатации линейной части участка 130,3-217,2 (116-204) км магистрального нефтепровода "Тенгиз-Новороссийск" сроком на 49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"КТК-К":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выполнение работ по восстановлению нарушенных земель до окончания срока права временного возмездного землепользования;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нанесения ущерба собственникам земельных участков по согласованию и землепользователям возместить ущерб в соответствии с действующим законодательством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государственному учреждению "Управление сельского хозяйства и земельных отношений Атырауской области" в соответствии с действующим законодательством Республики Казахстан принять необходимые меры согласно данного постановления по установленному сервитуту для размещения и эксплуатации линейной части магистрального нефтепровода "Тенгиз-Новоросийск" акционерного общества "Каспийский Трубопроводный Консорциум-К" по реализации предусмотренных мероприятии.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Атырауской области от 09.06.2025 №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использования земельных участков, на которые установлен публичный сервитут для нефтепровода "Тенгиз-Новороссийск",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выполнения данного постановления возложить на первого заместителя акима Атырауской области Г.И. Дуйсембаева.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и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от 7 августа 2015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 который устанавливается публичный сервитут для АО "Каспийский трубопроводный консорциум-К" для размещения и эксплуатации линейной части участка магистрального нефтепровода "Тенгиз-Новороссийск"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устанавливаемого публичного сервитута,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устанавливаемого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130,3-145,8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(116-131,5)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 145,8-173,5 км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(131,5-159,2)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Атырау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173,5-208,4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(159,2-194,4)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350,6731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208,5-217,2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(194,4-204)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от 7 августа 2015 года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земельных участков, на которые установлен публичный сервитут для магистрального нефтепровода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Для исключения возможного повреждения трубопроводов (при любом их виде) устанавливаются охранные зоны: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вдоль трасс трубопроводов, транспортирующих нефть, природный газ, нефтепродукты, нефтяной и искусственный углеводородные газы, — в виде участка земли, ограниченного условными линиями, проходящими в 50 метрах от оси трубопровода с каждой стороны.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Земельные участки, входящие в охранные зоны трубопроводов,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 охранных зонах трубопроводов запрещается осуществлять всякого рода действия, которые могут нарушить нормальную эксплуатацию трубопроводов либо привести к их повреждению,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перемещать, засыпать, повреждать опознавательные и сигнальные знаки, контрольноизмерительные пункты;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открывать люки, калитки и двери необслуживаемых усилительных пунктов кабельной связи, ограждения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энергоснабжения и телемеханики трубопроводов;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устраивать всякого рода свалки, выливать растворы кислот, солей и щелочей;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— от аварийного разлива транспортируемой продукции;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бросать якоря, проходить с отданными якорями, цепями, лотами, волокушами и тралами, производить дноуглубительные и землечерпальные работы;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разводить огонь и размещать какие-либо открытые или закрытые источники огня.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В охранных зонах трубопроводов без письменного разрешения предприятий трубопроводного транспорта запрещается: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возводить любые постройки и сооружения;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сооружать и совершать проезды и переезды через трассы трубопроводов, устраивать стоянки автомобильного транспорта, тракторов и механизмов, размещать огороды;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производить мелиоративные работы, сооружать оросительные и осушительные системы;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производить горные, строительные, монтажные и взрывные работы, планировку грунта (письменное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"Едиными правилами безопасности при взрывных работах";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производить геологосъемочные, поисковые, геодезические и другие изыскательские работы, связанные с устройством скважин, шурфов и взятием проб грунта (кроме почвенных образцов).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и организации, получившие письменное разрешение на ведение работ в охранных зонах трубопроводов, обязаны выполнять их с соблюдением условий, обеспечивающих сохранность трубопроводов и опознавательных знаков, и несут ответственность, установленную законодательством.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Предприятиям трубопроводного транспорта разрешается: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подъезд в соответствии со схемой проездов, согласованной землепользователем, автомобильного транспорта и других средств к трубопроводу и его объектам для обслуживания и проведения ремонтных работ;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авариях разрешается производить все виды работ, связанные с их ликвидацией, с оформлением и выплатой ущерба землевладельцам, устройство проездов по направлению к трубопроводу и установкам, доставка техники.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трубопроводы проходят через запрещенную зону и территорию специальных обьектов, то соответствующие организации обязаны в любое время суток выдать работникам, обслуживающим трубопроводы, разрешение на проведение работ по обслуживанию и ремонту.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устройство в пределах охранной зоны шурфов для проверки качества изоляции трубопроводов и состояния средств, их электрохимической защиты от коррозии и производство других земляных работ, необходимых для обеспечения нормальной эксплуатации трубопроводов, с предварительным уведомлением об этом землепользователя (не позднее, чем за 5 суток до начала работ);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авариях на трубопроводах, проходящих через лесные угодья, разрешается рубка деревьев, с оформлением впоследствии билета на рубку леса, очистка земельного участка от остатков леса.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предприятию трубопроводного транспорта при эксплуатации трубопровода разрешается рубка леса с оформлением билета на рубку леса на общих основаниях. Срезанный лес используется указанным предприятием.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