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19a5" w14:textId="c661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pеспубликанском бюджете на 1993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25 янваpя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Z935000_ </w:t>
      </w:r>
      <w:r>
        <w:rPr>
          <w:rFonts w:ascii="Times New Roman"/>
          <w:b w:val="false"/>
          <w:i w:val="false"/>
          <w:color w:val="000000"/>
          <w:sz w:val="28"/>
        </w:rPr>
        <w:t>
  "О
республиканском бюджете на 1993 год" с 1 января 1993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организовать работу по исполнению республиканского бюджета
по доходам и расходам в пределах сумм, предусмотренных настоящим
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рассмотреть вопрос о финансировании бывших закрытых и 
других городов и внести предложения Президиуму Верховного Совета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целевое использование внебюджетных фондов, 
включая Пенсионный фонд, в соответствии с действующим законодательством 
и представления периодической, годовой бухгалтерской отчетности
распорядителями средств этих фондов в установленном порядке;
провести ревизию всех внебюджетных фондов и результаты представить
на рассмотрение Верховного Совета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право Президиуму Верховного Совета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вносить изменения в доходную и расходную часть
республиканского бюджета в период между сессиями Верховного
Совета Республики Казахстан по представлению Правительства 
республики с последующим их утверждением на сессии.
          Председатель 
   Верховного Совета Республики
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