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e21c" w14:textId="76fe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5 ноября 2004 года № 629 "Об утверждении Перечня хозяйственных целей для использования объектов животного мира (кроме охоты и рыболовства) и Правил использования в хозяйственных целях животных, не относящихся к объектам охоты и рыболовства, а также их полезных свойств и продуктов жизне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ноября 2012 года № 18-03/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ноября 2004 года № 629 «Об утверждении Перечня хозяйственных целей для использования объектов животного мира (кроме охоты и рыболовства) и Правил использования в хозяйственных целях животных, не относящихся к объектам охоты и рыболовства, а также их полезных свойств и продуктов жизнедеятельности» (зарегистрированный в Реестре государственной регистрации нормативных правовых актов за № 3217 и опубликованный в газете «Юридическая газета» от 7 октября 2005 г. № 185-186 (919-9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(Жумажанов Б.Ж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