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325f" w14:textId="c3a32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("Экономиканың инклюзивті және орнықты өсуі" даму саясатын қаржыландыруға арналған екінші қарыз)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14 шiлдедегi № 348-VIII ҚРЗ</w:t>
      </w:r>
    </w:p>
    <w:p>
      <w:pPr>
        <w:spacing w:after="0"/>
        <w:ind w:left="0"/>
        <w:jc w:val="both"/>
      </w:pPr>
      <w:r>
        <w:rPr>
          <w:rFonts w:ascii="Times New Roman"/>
          <w:b w:val="false"/>
          <w:i w:val="false"/>
          <w:color w:val="000000"/>
          <w:sz w:val="28"/>
        </w:rPr>
        <w:t>
      2026 жылғы 20 мамырда Астанада жасалған Қазақстан Республикасы мен Халықаралық Қайта Құру және Даму Банкі арасындағы қарыз туралы келісім ("Экономиканың инклюзивті және орнықты өсуі" даму саясатын қаржыландыруға арналған екінші қарыз) ратификациялансын.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