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14c2" w14:textId="a8c14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14 ақпандағы № 107-VII ҚРЗ.</w:t>
      </w:r>
    </w:p>
    <w:p>
      <w:pPr>
        <w:spacing w:after="0"/>
        <w:ind w:left="0"/>
        <w:jc w:val="both"/>
      </w:pPr>
      <w:bookmarkStart w:name="z1" w:id="0"/>
      <w:r>
        <w:rPr>
          <w:rFonts w:ascii="Times New Roman"/>
          <w:b w:val="false"/>
          <w:i w:val="false"/>
          <w:color w:val="000000"/>
          <w:sz w:val="28"/>
        </w:rPr>
        <w:t xml:space="preserve">
      1-бап.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дәйектеу – халықаралық шарт мәтінінің теңтүпнұсқалығын анықтау тәсілдерінің бірі ретінде қолданылатын, халықаралық шарт жобасының келісілген мәтінінде келіссөздерге қатысушы әрбір тараптың өкілетті өкілдерінің аты-жөндерін әр параққа қою;";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"халықаралық шартты" деген сөздердің алдынан "мәтіннің теңтүпнұсқалығын анықтау тәсілдерінің бірі ретінде"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тармақшаның</w:t>
      </w:r>
      <w:r>
        <w:rPr>
          <w:rFonts w:ascii="Times New Roman"/>
          <w:b w:val="false"/>
          <w:i w:val="false"/>
          <w:color w:val="000000"/>
          <w:sz w:val="28"/>
        </w:rPr>
        <w:t xml:space="preserve"> бесінші абзацы "тапсырылатын" деген сөзден кейін "немесе дипломатиялық арналар арқылы жіберілетін"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"14) халықаралық шарт жасасу – реттілік тәртіппен жүзеге асырылатын, халықаралық шарттың мәтінін қабылдау, халықаралық шарт мәтінінің теңтүпнұсқалығын анықтау және Қазақстан Республикасының өзі үшін халықаралық шарттың міндетті екендігіне келісім білдіруі, не Қазақстан Республикасы халықаралық шартқа қосылатын жағдайда – Қазақстан Республикасының өзі үшін халықаралық шарттың міндетті екендігіне келісім білдіруі;"; </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1) тармақшасының екінші бөлігіндегі "қабылданбайды" деген сөз "қол қоюға өкілеттіктер беру туралы шешімсіз қабылданады" деген сөздермен ауыстырылсын.</w:t>
      </w:r>
    </w:p>
    <w:bookmarkEnd w:id="4"/>
    <w:bookmarkStart w:name="z10" w:id="5"/>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