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4f0e" w14:textId="de2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мемлекеттердің зияткерлік меншік объектілерінің бірыңғай кедендік тізілімі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322-IV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мамырда Санкт-Петербургте жасалған Кеден одағына мүше мемлекеттердің зияткерлік меншік объектілерінің бірыңғай кедендік тізілімі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зияткерлік меншік</w:t>
      </w:r>
      <w:r>
        <w:br/>
      </w:r>
      <w:r>
        <w:rPr>
          <w:rFonts w:ascii="Times New Roman"/>
          <w:b/>
          <w:i w:val="false"/>
          <w:color w:val="000000"/>
        </w:rPr>
        <w:t>объектілерінің бірыңғай кедендік тізілімі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