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e0b5a" w14:textId="ede0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бітімгершілік қызметі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24 қазандағы N 73-IV Заңы.</w:t>
      </w:r>
    </w:p>
    <w:p>
      <w:pPr>
        <w:spacing w:after="0"/>
        <w:ind w:left="0"/>
        <w:jc w:val="both"/>
      </w:pPr>
      <w:bookmarkStart w:name="z1" w:id="0"/>
      <w:r>
        <w:rPr>
          <w:rFonts w:ascii="Times New Roman"/>
          <w:b w:val="false"/>
          <w:i w:val="false"/>
          <w:color w:val="000000"/>
          <w:sz w:val="28"/>
        </w:rPr>
        <w:t xml:space="preserve">
      Душанбеде 2007 жылғы 6 қазанда қол қойылған Ұжымдық қауіпсіздік туралы шарт ұйымының бітімгершілік қызметі туралы келісім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Ұжымдық қауіпсіздік туралы шарт ұйымының бітімгершілік қызметі туралы келісім</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(2009 жылғы 15 қаңтарда күшіне енді - ҚР СІМ-нің ресми сайты)</w:t>
      </w:r>
    </w:p>
    <w:p>
      <w:pPr>
        <w:spacing w:after="0"/>
        <w:ind w:left="0"/>
        <w:jc w:val="both"/>
      </w:pPr>
      <w:r>
        <w:rPr>
          <w:rFonts w:ascii="Times New Roman"/>
          <w:b w:val="false"/>
          <w:i w:val="false"/>
          <w:color w:val="000000"/>
          <w:sz w:val="28"/>
        </w:rPr>
        <w:t xml:space="preserve">
      Ұжымдық қауіпсіздік туралы шарт ұйымына мүше мемлекеттер (бұдан әрі - мүше мемлекеттер), </w:t>
      </w:r>
    </w:p>
    <w:p>
      <w:pPr>
        <w:spacing w:after="0"/>
        <w:ind w:left="0"/>
        <w:jc w:val="both"/>
      </w:pPr>
      <w:r>
        <w:rPr>
          <w:rFonts w:ascii="Times New Roman"/>
          <w:b w:val="false"/>
          <w:i w:val="false"/>
          <w:color w:val="000000"/>
          <w:sz w:val="28"/>
        </w:rPr>
        <w:t xml:space="preserve">
      Ұжымдық қауіпсіздік туралы шарт ұйымының (бұдан әрі - ҰҚШҰ) жауапты аймағында және шекаралас өңірлерде қауіпсіздік пен тұрақтылықтың ұжымдық негізінде қамтамасыз етуге өз талпынысын растай отырып, </w:t>
      </w:r>
    </w:p>
    <w:p>
      <w:pPr>
        <w:spacing w:after="0"/>
        <w:ind w:left="0"/>
        <w:jc w:val="both"/>
      </w:pPr>
      <w:r>
        <w:rPr>
          <w:rFonts w:ascii="Times New Roman"/>
          <w:b w:val="false"/>
          <w:i w:val="false"/>
          <w:color w:val="000000"/>
          <w:sz w:val="28"/>
        </w:rPr>
        <w:t xml:space="preserve">
      БҰҰ Жарғысында бекітілген мақсаттар мен принциптерге, БҰҰ Қауіпсіздік Кеңесінің шешімдеріне, халықаралық құқықтың жалпыға танылған нормаларына адалдығы туралы мәлімдей отырып, </w:t>
      </w:r>
    </w:p>
    <w:p>
      <w:pPr>
        <w:spacing w:after="0"/>
        <w:ind w:left="0"/>
        <w:jc w:val="both"/>
      </w:pPr>
      <w:r>
        <w:rPr>
          <w:rFonts w:ascii="Times New Roman"/>
          <w:b w:val="false"/>
          <w:i w:val="false"/>
          <w:color w:val="000000"/>
          <w:sz w:val="28"/>
        </w:rPr>
        <w:t xml:space="preserve">
      1992 жылғы 15 мамырдағы Ұжымдық қауіпсіздік туралы шартының мақсаттарын, Ұжымдық қауіпсіздік туралы шарт ұйымының Жарғысын, ҰҚШҰ Ұжымдық қауіпсіздік кеңесінің 2004 жылғы 18 маусымдағы Ұжымдық қауіпсіздік туралы шарт ұйымы бітімгершілік қызметінің тетігін қалыптастыру және қызмет ету тұжырымдамасы туралы шешімін басшылыққа ала отырып, </w:t>
      </w:r>
    </w:p>
    <w:p>
      <w:pPr>
        <w:spacing w:after="0"/>
        <w:ind w:left="0"/>
        <w:jc w:val="both"/>
      </w:pPr>
      <w:r>
        <w:rPr>
          <w:rFonts w:ascii="Times New Roman"/>
          <w:b w:val="false"/>
          <w:i w:val="false"/>
          <w:color w:val="000000"/>
          <w:sz w:val="28"/>
        </w:rPr>
        <w:t xml:space="preserve">
      ҰҚШҰ мен оған мүше мемлекеттердің халықаралық бейбітшілік пен қауіпсіздікті қолдау жөніндегі әлемдік қоғамдастықты күшейтуге тиімді түрде қатысуды қамтамасыз етудің маңыздылығына сүйене отырып, </w:t>
      </w:r>
    </w:p>
    <w:p>
      <w:pPr>
        <w:spacing w:after="0"/>
        <w:ind w:left="0"/>
        <w:jc w:val="both"/>
      </w:pPr>
      <w:r>
        <w:rPr>
          <w:rFonts w:ascii="Times New Roman"/>
          <w:b w:val="false"/>
          <w:i w:val="false"/>
          <w:color w:val="000000"/>
          <w:sz w:val="28"/>
        </w:rPr>
        <w:t xml:space="preserve">
      бітімгершілік қызметіне ҰҚШҰ-ның қатысуы әлемдік және өңірлік істердегі оның халықаралық ұстанымын, беделін және саяси салмағын нығайтудың пәрменді құралы деп есептей отырып,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Келісімнің мақсаттары үшін төменде берілген терминдер мынаны білдіреді: </w:t>
      </w:r>
    </w:p>
    <w:p>
      <w:pPr>
        <w:spacing w:after="0"/>
        <w:ind w:left="0"/>
        <w:jc w:val="both"/>
      </w:pPr>
      <w:r>
        <w:rPr>
          <w:rFonts w:ascii="Times New Roman"/>
          <w:b w:val="false"/>
          <w:i w:val="false"/>
          <w:color w:val="000000"/>
          <w:sz w:val="28"/>
        </w:rPr>
        <w:t xml:space="preserve">
      "ҰҚШҰ-ның бітімгершілік қызметі" - дауларды шешуге бағытталған (БҰҰ жарғысына сәйкес), бейбіт құралдар мен іс-қимылдарды, сондай-ақ үшінші тараптың араласуы жолымен мемлекеттер арасындағы немесе мемлекеттер шегіндегі әскери іс-қимылдарды болдырмауға, шектеуге және тоқтатуға бағытталған әскери, милиция (полиция) және азаматтық персоналды пайдалана отырып, мүше мемлекеттер қабылдайтын ұжымдық іс-қимылдарды қамтитын және бейбітшілік пен қауіпсіздікті қолдауға ықпал ететін шаралар жиынтығы; </w:t>
      </w:r>
    </w:p>
    <w:p>
      <w:pPr>
        <w:spacing w:after="0"/>
        <w:ind w:left="0"/>
        <w:jc w:val="both"/>
      </w:pPr>
      <w:r>
        <w:rPr>
          <w:rFonts w:ascii="Times New Roman"/>
          <w:b w:val="false"/>
          <w:i w:val="false"/>
          <w:color w:val="000000"/>
          <w:sz w:val="28"/>
        </w:rPr>
        <w:t xml:space="preserve">
      "бейбітшілікті қолдау жөніндегі ҰҚШҰ операциясы" (бұдан әрі - бітімгершілік операциясы) - әлеуетті немесе болып жатқан жанжалдар аудандарындағы жағдайды тұрақтандыру үшін қолданылатын, бітімгершілік операцияларын өткізуге арналған мандатқа сәйкес жүзеге асырылатын және жанжалды шешуге ықпал ететін жағдай жасауға және бейбітшілік пен қауіпсіздікті қолдауға және қалпына келтіруге бағытталған әділ әскери, милиция (полиция) және азаматтық персоналдың мақсаттары, міндеттері, орны және уақыты бойынша өзара байланысты іс-қимылдар жиынтығы; </w:t>
      </w:r>
    </w:p>
    <w:p>
      <w:pPr>
        <w:spacing w:after="0"/>
        <w:ind w:left="0"/>
        <w:jc w:val="both"/>
      </w:pPr>
      <w:r>
        <w:rPr>
          <w:rFonts w:ascii="Times New Roman"/>
          <w:b w:val="false"/>
          <w:i w:val="false"/>
          <w:color w:val="000000"/>
          <w:sz w:val="28"/>
        </w:rPr>
        <w:t xml:space="preserve">
      "ҰҚШҰ-ға мүше мемлекеттердің бітімгершілік контингенттері" (бұдан әрі - бітімгершілік контингенттері) - арнайы даярланған әскери, милициялық (полициялық) және азаматтық персонал, сондай-ақ ҰҚШҰ бітімгершілік күштерінің құрамына мүше мемлекеттер ұсынатын күштер мен құралдар; </w:t>
      </w:r>
    </w:p>
    <w:p>
      <w:pPr>
        <w:spacing w:after="0"/>
        <w:ind w:left="0"/>
        <w:jc w:val="both"/>
      </w:pPr>
      <w:r>
        <w:rPr>
          <w:rFonts w:ascii="Times New Roman"/>
          <w:b w:val="false"/>
          <w:i w:val="false"/>
          <w:color w:val="000000"/>
          <w:sz w:val="28"/>
        </w:rPr>
        <w:t xml:space="preserve">
      "ҰҚШҰ-ның бітімгершілік күштері" (бұдан әрі - Бітімгершілік күштер) - ҰҚШҰ-ның бітімгершілік операцияларына қатысу үшін тағайындалған бітімгершілік контингенттер жиынтығы; </w:t>
      </w:r>
    </w:p>
    <w:p>
      <w:pPr>
        <w:spacing w:after="0"/>
        <w:ind w:left="0"/>
        <w:jc w:val="both"/>
      </w:pPr>
      <w:r>
        <w:rPr>
          <w:rFonts w:ascii="Times New Roman"/>
          <w:b w:val="false"/>
          <w:i w:val="false"/>
          <w:color w:val="000000"/>
          <w:sz w:val="28"/>
        </w:rPr>
        <w:t xml:space="preserve">
      "ҰҚШҰ-ның ұжымдық бітімгершілік күштері" (бұдан әрі - ҰБК) - бітімгершілік операцияларын өткізу кезеңіне мүше мемлекеттер бөлінетін бітімгершілік контингенттер құрамының бөлімдері (бөлімшелері); </w:t>
      </w:r>
    </w:p>
    <w:p>
      <w:pPr>
        <w:spacing w:after="0"/>
        <w:ind w:left="0"/>
        <w:jc w:val="both"/>
      </w:pPr>
      <w:r>
        <w:rPr>
          <w:rFonts w:ascii="Times New Roman"/>
          <w:b w:val="false"/>
          <w:i w:val="false"/>
          <w:color w:val="000000"/>
          <w:sz w:val="28"/>
        </w:rPr>
        <w:t xml:space="preserve">
      "бітімгершілік операцияларын өткізуге арналған мандат" (бұдан әрі - Мандат) - ҰҚШҰ Ұжымдық қауіпсіздік кеңесінің (бұдан әрі - ҰҚК) шешімі немесе мүше мемлекеттердің аумағынан тысқары бітімгершілік операциясын өткізген жағдайда БҰҰ Қауіпсіздік Кеңесінің шешімі, онда нақты бітімгершілік қызметтің мақсаттары мен міндеттері, уақытша және кеңістік шектері, басқа да бөлшектері, сондай-ақ келісімге келтірушінің өкілеттілігі айқындалады. </w:t>
      </w:r>
    </w:p>
    <w:p>
      <w:pPr>
        <w:spacing w:after="0"/>
        <w:ind w:left="0"/>
        <w:jc w:val="both"/>
      </w:pPr>
      <w:r>
        <w:rPr>
          <w:rFonts w:ascii="Times New Roman"/>
          <w:b w:val="false"/>
          <w:i w:val="false"/>
          <w:color w:val="000000"/>
          <w:sz w:val="28"/>
        </w:rPr>
        <w:t xml:space="preserve">
      Мандат ҰБК-ны жанжал аймағына орналастыру үшін құқықтық негіз және бітімгершілік операциясының жоспарын әзірлеу үшін бастапқы құжат болып табылады; </w:t>
      </w:r>
    </w:p>
    <w:p>
      <w:pPr>
        <w:spacing w:after="0"/>
        <w:ind w:left="0"/>
        <w:jc w:val="both"/>
      </w:pPr>
      <w:r>
        <w:rPr>
          <w:rFonts w:ascii="Times New Roman"/>
          <w:b w:val="false"/>
          <w:i w:val="false"/>
          <w:color w:val="000000"/>
          <w:sz w:val="28"/>
        </w:rPr>
        <w:t>
      "үйлестіруші мемлекет" - ұйымдастыру мәселелерін және БҰҰ-ның бейбітшілікті қолдау жөніндегі операциясында ҰБК-ны қолдануды жан-жақты қамтамасыз ету мәселелерін шешу үшін ҰҚК айқындайтын мүше мемлекеттердің бірі;</w:t>
      </w:r>
    </w:p>
    <w:p>
      <w:pPr>
        <w:spacing w:after="0"/>
        <w:ind w:left="0"/>
        <w:jc w:val="both"/>
      </w:pPr>
      <w:r>
        <w:rPr>
          <w:rFonts w:ascii="Times New Roman"/>
          <w:b w:val="false"/>
          <w:i w:val="false"/>
          <w:color w:val="000000"/>
          <w:sz w:val="28"/>
        </w:rPr>
        <w:t xml:space="preserve">
      "ҰҚШҰ бітімгершілік миссиясының басшысы" (бұдан әрі - бітімгершілік миссиясының басшысы) - ҰҚК тағайындаған және жанжал аймағында тиісті өкілеттіліктер берілген, оның атынан әрекет ететін және оған есеп беретін ресми тұлға; </w:t>
      </w:r>
    </w:p>
    <w:p>
      <w:pPr>
        <w:spacing w:after="0"/>
        <w:ind w:left="0"/>
        <w:jc w:val="both"/>
      </w:pPr>
      <w:r>
        <w:rPr>
          <w:rFonts w:ascii="Times New Roman"/>
          <w:b w:val="false"/>
          <w:i w:val="false"/>
          <w:color w:val="000000"/>
          <w:sz w:val="28"/>
        </w:rPr>
        <w:t xml:space="preserve">
      "ҰҚШҰ бітімгершілік операциясын дайындау жөніндегі жедел жұмыс тобы" (бұдан әрі - Топ) - әскери-саяси жағдай мониторингін жүргізу, жұмыс жағдайын орнында айқындау және бітімгершілік операцияларын өткізудің мақсаттылығы, болжамды мерзімдері мен ауқымдары, ҰБҚ құрамы мен міндеттері туралы ұсыныстарды, ұсынымдарды пысықтау, оларды бітімгершілік операцияларын өткізу ауданына өрістетуді қамтамасыз ету мақсатында ҰҚК уақытша құратын және әлеуетті немесе болып жатқан жанжал аймағына жіберілетін жұмыс тобы; </w:t>
      </w:r>
    </w:p>
    <w:p>
      <w:pPr>
        <w:spacing w:after="0"/>
        <w:ind w:left="0"/>
        <w:jc w:val="both"/>
      </w:pPr>
      <w:r>
        <w:rPr>
          <w:rFonts w:ascii="Times New Roman"/>
          <w:b w:val="false"/>
          <w:i w:val="false"/>
          <w:color w:val="000000"/>
          <w:sz w:val="28"/>
        </w:rPr>
        <w:t xml:space="preserve">
      "ҰБК персоналы" - ҰБҚ құрамына мүше мемлекеттердің бөлген бітімгершілік контингенттерінің арнайы даярланған әскери, милициялық (полициялық) және азаматтық персоналы.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26.09.2023 </w:t>
      </w:r>
      <w:r>
        <w:rPr>
          <w:rFonts w:ascii="Times New Roman"/>
          <w:b w:val="false"/>
          <w:i w:val="false"/>
          <w:color w:val="000000"/>
          <w:sz w:val="28"/>
        </w:rPr>
        <w:t>№ 28-VIII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Мүше мемлекеттер бітімгершілік операцияларына қатысу үшін тұрақты негізде Бітімгершілік күштерін құрады. </w:t>
      </w:r>
    </w:p>
    <w:p>
      <w:pPr>
        <w:spacing w:after="0"/>
        <w:ind w:left="0"/>
        <w:jc w:val="both"/>
      </w:pPr>
      <w:r>
        <w:rPr>
          <w:rFonts w:ascii="Times New Roman"/>
          <w:b w:val="false"/>
          <w:i w:val="false"/>
          <w:color w:val="000000"/>
          <w:sz w:val="28"/>
        </w:rPr>
        <w:t xml:space="preserve">
      Бітімгершілік күштерін жасақтау үшін өзі ұлттық заңнамасына сәйкес тұрақты негізде бітімгершілік контингенттерін бөледі. </w:t>
      </w:r>
    </w:p>
    <w:p>
      <w:pPr>
        <w:spacing w:after="0"/>
        <w:ind w:left="0"/>
        <w:jc w:val="both"/>
      </w:pPr>
      <w:r>
        <w:rPr>
          <w:rFonts w:ascii="Times New Roman"/>
          <w:b w:val="false"/>
          <w:i w:val="false"/>
          <w:color w:val="000000"/>
          <w:sz w:val="28"/>
        </w:rPr>
        <w:t xml:space="preserve">
      ҰҚШҰ-ға мүше мемлекеттердің Бітімгершілік контингенттері ҰҚШҰ арналған бірыңғай бағдарламалар бойынша даярлықтан өтеді, қару-жарақтың және байланыстың бірыңғай немесе бірлескен нұсқаларымен жарақтандырылады, тұрақты бірлескен оқу-жаттығуларға қатысады.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Мүше мемлекеттердің аумағында бітімгершілік операциясын өткізу туралы шешімді мүше мемлекеттердің, оның аумағында бітімгершілік операциясын өткізу туралы ресми өтінішінің немесе БҰҰ Қауіпсіздік Кеңесінің ҰҚШҰ-ға кірмейтін мемлекеттің аумағында бітімгершілік операциясын өткізу туралы шешімі негізінде мүше мемлекеттердің ұлттық заңнамасын ескере отырып ҰҚК қабылдайды. </w:t>
      </w:r>
    </w:p>
    <w:p>
      <w:pPr>
        <w:spacing w:after="0"/>
        <w:ind w:left="0"/>
        <w:jc w:val="both"/>
      </w:pPr>
      <w:r>
        <w:rPr>
          <w:rFonts w:ascii="Times New Roman"/>
          <w:b w:val="false"/>
          <w:i w:val="false"/>
          <w:color w:val="000000"/>
          <w:sz w:val="28"/>
        </w:rPr>
        <w:t xml:space="preserve">
      Бітімгершілік операциясын өткізу туралы ҰҚК-ның шешімін дайындау ҰҚШҰ Сыртқы істер министрлері кеңесінің, Қорғаныс министрлері кеңесінің және Қауіпсіздік кеңесінің хатшылар комитетінің (бұдан әрі - СІМК, ҚМК және ҚКХК) ұсынымы бойынша жүзеге асырылады. </w:t>
      </w:r>
    </w:p>
    <w:p>
      <w:pPr>
        <w:spacing w:after="0"/>
        <w:ind w:left="0"/>
        <w:jc w:val="both"/>
      </w:pPr>
      <w:r>
        <w:rPr>
          <w:rFonts w:ascii="Times New Roman"/>
          <w:b w:val="false"/>
          <w:i w:val="false"/>
          <w:color w:val="000000"/>
          <w:sz w:val="28"/>
        </w:rPr>
        <w:t xml:space="preserve">
      Әлеуетті немесе болып жатқан жанжал аймағындағы әскери-саяси жағдайды талдау және бітімгершілік операциясын өткізудің мақсаттылығы, оның ауқымы, мерзімі және ҰБҚ-ның құрамы туралы ұсыныстар әзірлеу үшін ҰҚК Топ құрады. </w:t>
      </w:r>
    </w:p>
    <w:p>
      <w:pPr>
        <w:spacing w:after="0"/>
        <w:ind w:left="0"/>
        <w:jc w:val="both"/>
      </w:pPr>
      <w:r>
        <w:rPr>
          <w:rFonts w:ascii="Times New Roman"/>
          <w:b w:val="false"/>
          <w:i w:val="false"/>
          <w:color w:val="000000"/>
          <w:sz w:val="28"/>
        </w:rPr>
        <w:t xml:space="preserve">
      Топтың құрамы, міндеттері мен функциялары ҰҚК бекітетін жеке Ережемен айқындалады. </w:t>
      </w:r>
    </w:p>
    <w:p>
      <w:pPr>
        <w:spacing w:after="0"/>
        <w:ind w:left="0"/>
        <w:jc w:val="both"/>
      </w:pPr>
      <w:r>
        <w:rPr>
          <w:rFonts w:ascii="Times New Roman"/>
          <w:b w:val="false"/>
          <w:i w:val="false"/>
          <w:color w:val="000000"/>
          <w:sz w:val="28"/>
        </w:rPr>
        <w:t xml:space="preserve">
      Бітімгершілік операциялары келіссөздер және басқа да бейбіт құралдары жолымен жанжалды реттеуді алмастырмайды.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ҰҚК мүше мемлекеттің аумағында бітімгершілік операциясын өткізуге өз шешімі туралы БҰҰ Қауіпсіздік Кеңесін шұғыл хабардар етеді. Жанжалдың жағдайына, ауқымына және өңірдегі жағдайға оның ықпалына қарай, ҰҚК БҰҰ-ның Қауіпсіздік Кеңесінен бітімгершілік операцияны өткізуге немесе БҰҰ-ның Қауіпсіздік Кеңесін бітімгершілік операцияның барысы туралы кезең-кезеңімен хабардар ету рәсімін белгілеуге өкілеттік (Мандат) сұратуы мүмкін. </w:t>
      </w:r>
    </w:p>
    <w:p>
      <w:pPr>
        <w:spacing w:after="0"/>
        <w:ind w:left="0"/>
        <w:jc w:val="both"/>
      </w:pPr>
      <w:r>
        <w:rPr>
          <w:rFonts w:ascii="Times New Roman"/>
          <w:b w:val="false"/>
          <w:i w:val="false"/>
          <w:color w:val="000000"/>
          <w:sz w:val="28"/>
        </w:rPr>
        <w:t xml:space="preserve">
      Мүше мемлекеттердің аумағынан тысқары жерлерде бітімгершілік операцияларын өткізу туралы шешім қабылданған жағдайда ҰҚК БҰҰ-ның Қауіпсіздік Кеңесіне бітімгершілік операцияларын өткізуге тиісті Мандатты беруіне сұрау салумен өтініш жасайды. </w:t>
      </w:r>
    </w:p>
    <w:p>
      <w:pPr>
        <w:spacing w:after="0"/>
        <w:ind w:left="0"/>
        <w:jc w:val="both"/>
      </w:pPr>
      <w:r>
        <w:rPr>
          <w:rFonts w:ascii="Times New Roman"/>
          <w:b w:val="false"/>
          <w:i w:val="false"/>
          <w:color w:val="000000"/>
          <w:sz w:val="28"/>
        </w:rPr>
        <w:t xml:space="preserve">
      ҰҚК Мандатты алғаннан кейін Бітімгершілік миссиясының басшысын тағайындайды. </w:t>
      </w:r>
    </w:p>
    <w:p>
      <w:pPr>
        <w:spacing w:after="0"/>
        <w:ind w:left="0"/>
        <w:jc w:val="both"/>
      </w:pPr>
      <w:r>
        <w:rPr>
          <w:rFonts w:ascii="Times New Roman"/>
          <w:b w:val="false"/>
          <w:i w:val="false"/>
          <w:color w:val="000000"/>
          <w:sz w:val="28"/>
        </w:rPr>
        <w:t xml:space="preserve">
      Бітімгершілік миссиясы басшысының мәртебесі мен өкілеттілігі ҰҚК бекітетін жеке Ережеде айқындалады.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Нақты бітімгершілік операциясына қатысу үшін Бітімгершілік күштері құрамынан ҰБК құрылады. </w:t>
      </w:r>
    </w:p>
    <w:p>
      <w:pPr>
        <w:spacing w:after="0"/>
        <w:ind w:left="0"/>
        <w:jc w:val="both"/>
      </w:pPr>
      <w:r>
        <w:rPr>
          <w:rFonts w:ascii="Times New Roman"/>
          <w:b w:val="false"/>
          <w:i w:val="false"/>
          <w:color w:val="000000"/>
          <w:sz w:val="28"/>
        </w:rPr>
        <w:t xml:space="preserve">
      ҰБК-ны жасақтау, оның құрылымы, міндеттері мен функциялары, ҰБК персоналының құқықтық мәртебесі, олардың қызметін материалдық-техникалық қамтамасыз ету мен қаржыландыру ҰҚК бекітетін жеке Ережеде айқындалады. </w:t>
      </w:r>
    </w:p>
    <w:p>
      <w:pPr>
        <w:spacing w:after="0"/>
        <w:ind w:left="0"/>
        <w:jc w:val="both"/>
      </w:pPr>
      <w:r>
        <w:rPr>
          <w:rFonts w:ascii="Times New Roman"/>
          <w:b w:val="false"/>
          <w:i w:val="false"/>
          <w:color w:val="000000"/>
          <w:sz w:val="28"/>
        </w:rPr>
        <w:t xml:space="preserve">
      ҰҚК-ның құрамы, құрылымы мен саны әрбір бітімгершілік операциясы үшін ҰБК шешімімен жеке айқындалады. </w:t>
      </w:r>
    </w:p>
    <w:p>
      <w:pPr>
        <w:spacing w:after="0"/>
        <w:ind w:left="0"/>
        <w:jc w:val="both"/>
      </w:pPr>
      <w:r>
        <w:rPr>
          <w:rFonts w:ascii="Times New Roman"/>
          <w:b w:val="false"/>
          <w:i w:val="false"/>
          <w:color w:val="000000"/>
          <w:sz w:val="28"/>
        </w:rPr>
        <w:t xml:space="preserve">
      ҰБК қабылдайтын іс-қимылдар жанжалдасушы тараптардың айқын сипатталған келісуі кезінде және олар жанжал аумағында атыс және басқа да күш көрсету іс-қимылдарын тоқтату туралы келісімге қол жеткізген жағдайда және бітімгершілік контингентінің қауіпсіздігі мен оның өзін-өзі қорғау құқығымен қамтамасыз еткен жағдайда алаламайтын, бейтараптық және ашықтық рухында жүзеге асырылады. </w:t>
      </w:r>
    </w:p>
    <w:p>
      <w:pPr>
        <w:spacing w:after="0"/>
        <w:ind w:left="0"/>
        <w:jc w:val="both"/>
      </w:pPr>
      <w:r>
        <w:rPr>
          <w:rFonts w:ascii="Times New Roman"/>
          <w:b w:val="false"/>
          <w:i w:val="false"/>
          <w:color w:val="000000"/>
          <w:sz w:val="28"/>
        </w:rPr>
        <w:t xml:space="preserve">
      Мүше мемлекеттердің бітімгершілік қызметін жүзеге асыруы тек ерікті сипатта болады.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ҰБК бітімгершілік операциясын дайындау мен өткізу барысында ҰҚК тағайындайтын және оған есеп беретін ҰБК-ның Қолбасшысына бағынады. </w:t>
      </w:r>
    </w:p>
    <w:p>
      <w:pPr>
        <w:spacing w:after="0"/>
        <w:ind w:left="0"/>
        <w:jc w:val="both"/>
      </w:pPr>
      <w:r>
        <w:rPr>
          <w:rFonts w:ascii="Times New Roman"/>
          <w:b w:val="false"/>
          <w:i w:val="false"/>
          <w:color w:val="000000"/>
          <w:sz w:val="28"/>
        </w:rPr>
        <w:t xml:space="preserve">
      ҰБК-ны дайындау жөніндегі іс-шараларды үйлестіру және бітімгершілік операцияларын өткізу ҰҚШҰ-ның Біріккен штабына жүктеледі.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ҰБК ҰҚК-ның шешімі бойынша БҰҰ Қауіпсіздік Кеңесінің тиісті шешімдері негізінде жүзеге асырылатын бітімгершілік операцияларына қатысуы мүмкін. </w:t>
      </w:r>
    </w:p>
    <w:p>
      <w:pPr>
        <w:spacing w:after="0"/>
        <w:ind w:left="0"/>
        <w:jc w:val="both"/>
      </w:pPr>
      <w:r>
        <w:rPr>
          <w:rFonts w:ascii="Times New Roman"/>
          <w:b w:val="false"/>
          <w:i w:val="false"/>
          <w:color w:val="000000"/>
          <w:sz w:val="28"/>
        </w:rPr>
        <w:t xml:space="preserve">
      ҰБК ҰҚК шешімі бойынша БҰҰ Жарғысының ережелеріне сәйкес және мәжбүрлеу іс-қимылдарынан тұрмайтын, олардың заңдық иелігінде жүзеге асырылатын және өңірлік ұйымдардың заңды шешімдері мен операцияны оның аумағында өткізуге мемлекеттің келісімі болған кезде өңірлік ұйымдардың бітімгершілік операцияларына қатысу үшін жіберіледі.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Бітімгершілік күштер БҰҰ-ның бейбітшілікті қолдау жөніндегі операцияларында қолданылуы мүмкін.</w:t>
      </w:r>
    </w:p>
    <w:p>
      <w:pPr>
        <w:spacing w:after="0"/>
        <w:ind w:left="0"/>
        <w:jc w:val="both"/>
      </w:pPr>
      <w:r>
        <w:rPr>
          <w:rFonts w:ascii="Times New Roman"/>
          <w:b w:val="false"/>
          <w:i w:val="false"/>
          <w:color w:val="000000"/>
          <w:sz w:val="28"/>
        </w:rPr>
        <w:t>
      БҰҰ-ның бейбітшілікті қолдау жөніндегі операциясында қолдану үшін ҰБК үйлестіруші мемлекет аясында құрылады. БҰҰ-ның бейбітшілікті қолдау жөніндегі операциясына ҰБК-ның қатысу шарттары үйлестіруші мемлекет БҰҰ-ның уәкілетті бөлімшесімен жасайтын келісімде айқындалады. БҰҰ-ның бейбітшілікті қолдау жөніндегі операцияларында қолдануға арналған бітімгершілік контингенттерді ҰБК-ға қосуға байланысты жекелеген мәселелер үйлестіруші мемлекет пен басқа да мүше мемлекеттер арасындағы екі және көпжақты келісімдермен регламенттеледі.</w:t>
      </w:r>
    </w:p>
    <w:p>
      <w:pPr>
        <w:spacing w:after="0"/>
        <w:ind w:left="0"/>
        <w:jc w:val="both"/>
      </w:pPr>
      <w:r>
        <w:rPr>
          <w:rFonts w:ascii="Times New Roman"/>
          <w:b w:val="false"/>
          <w:i w:val="false"/>
          <w:color w:val="000000"/>
          <w:sz w:val="28"/>
        </w:rPr>
        <w:t>
      Әрбір мүше мемлекет өзінің қатысуы туралы ҰҚК-ға хабарлай отырып, БҰҰ бітімгершілік әлеуетінің әзірлігін қамтамасыз ету жүйесінде тіркелген өзінің бітімгершілік контингентін БҰҰ-ның мандаты бойынша бітімгершілік операцияларға қатысу үшін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26.09.2023 </w:t>
      </w:r>
      <w:r>
        <w:rPr>
          <w:rFonts w:ascii="Times New Roman"/>
          <w:b w:val="false"/>
          <w:i w:val="false"/>
          <w:color w:val="000000"/>
          <w:sz w:val="28"/>
        </w:rPr>
        <w:t>№ 28-VIII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Мүше мемлекеттер жауынгерлік іс-қимылдардың қатысушысы ретінде ҰБК жауапкершілік аймағындағы міндеттерін орындайтын ҰБК-ның персоналын мойындайды және өзінің ұлттық заңнамасына сәйкес осы мәртебені сақтауға кепілдік береді. </w:t>
      </w:r>
    </w:p>
    <w:bookmarkStart w:name="z12"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Осы Келісім БҰҰ Жарлығының 102-бабына сәйкес БҰҰ-ның Хатшылығында тіркеледі. </w:t>
      </w:r>
    </w:p>
    <w:bookmarkStart w:name="z13"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туындауы мүмкін даулар мен келіспеушіліктерді мүше мемлекеттер келіссөздер мен консультациялар арқылы шешеді. </w:t>
      </w:r>
    </w:p>
    <w:bookmarkStart w:name="z14"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Осы Келісім депозитарийдің оған қол қойған мүше мемлекеттердің оның күшіне енуі үшін қажетті мемлекетішілік рәсімдерді орындағаны туралы төртінші жазбаша хабарлама алған күнінен бастап күшіне енгізіледі. </w:t>
      </w:r>
    </w:p>
    <w:p>
      <w:pPr>
        <w:spacing w:after="0"/>
        <w:ind w:left="0"/>
        <w:jc w:val="both"/>
      </w:pPr>
      <w:r>
        <w:rPr>
          <w:rFonts w:ascii="Times New Roman"/>
          <w:b w:val="false"/>
          <w:i w:val="false"/>
          <w:color w:val="000000"/>
          <w:sz w:val="28"/>
        </w:rPr>
        <w:t xml:space="preserve">
      Осындай мемлекетішілік рәсімдерді кешірек орындаған мүше мемлекеттер үшін осы Келісім депозитарийге тиісті жазбаша хабарламаны сақтауға тапсырған күнінен бастап күшіне енгізіледі. </w:t>
      </w:r>
    </w:p>
    <w:bookmarkStart w:name="z15" w:id="13"/>
    <w:p>
      <w:pPr>
        <w:spacing w:after="0"/>
        <w:ind w:left="0"/>
        <w:jc w:val="left"/>
      </w:pPr>
      <w:r>
        <w:rPr>
          <w:rFonts w:ascii="Times New Roman"/>
          <w:b/>
          <w:i w:val="false"/>
          <w:color w:val="000000"/>
        </w:rPr>
        <w:t xml:space="preserve"> 13-бап </w:t>
      </w:r>
    </w:p>
    <w:bookmarkEnd w:id="13"/>
    <w:p>
      <w:pPr>
        <w:spacing w:after="0"/>
        <w:ind w:left="0"/>
        <w:jc w:val="both"/>
      </w:pPr>
      <w:r>
        <w:rPr>
          <w:rFonts w:ascii="Times New Roman"/>
          <w:b w:val="false"/>
          <w:i w:val="false"/>
          <w:color w:val="000000"/>
          <w:sz w:val="28"/>
        </w:rPr>
        <w:t xml:space="preserve">
      Осы Келісімнің ережелері олар қатысушылары болып табылатын басқа халықаралық шарттардан туындайтын мүше мемлекеттердің құқықтары мен міндеттерін қозғамайды. </w:t>
      </w:r>
    </w:p>
    <w:bookmarkStart w:name="z16" w:id="14"/>
    <w:p>
      <w:pPr>
        <w:spacing w:after="0"/>
        <w:ind w:left="0"/>
        <w:jc w:val="left"/>
      </w:pPr>
      <w:r>
        <w:rPr>
          <w:rFonts w:ascii="Times New Roman"/>
          <w:b/>
          <w:i w:val="false"/>
          <w:color w:val="000000"/>
        </w:rPr>
        <w:t xml:space="preserve"> 14-бап </w:t>
      </w:r>
    </w:p>
    <w:bookmarkEnd w:id="14"/>
    <w:p>
      <w:pPr>
        <w:spacing w:after="0"/>
        <w:ind w:left="0"/>
        <w:jc w:val="both"/>
      </w:pPr>
      <w:r>
        <w:rPr>
          <w:rFonts w:ascii="Times New Roman"/>
          <w:b w:val="false"/>
          <w:i w:val="false"/>
          <w:color w:val="000000"/>
          <w:sz w:val="28"/>
        </w:rPr>
        <w:t xml:space="preserve">
      Кез келген мүше мемлекет депозитарийге жазбаша хабарлама жолдау арқылы осы Келісімнен шығуы мүмкін. </w:t>
      </w:r>
    </w:p>
    <w:p>
      <w:pPr>
        <w:spacing w:after="0"/>
        <w:ind w:left="0"/>
        <w:jc w:val="both"/>
      </w:pPr>
      <w:r>
        <w:rPr>
          <w:rFonts w:ascii="Times New Roman"/>
          <w:b w:val="false"/>
          <w:i w:val="false"/>
          <w:color w:val="000000"/>
          <w:sz w:val="28"/>
        </w:rPr>
        <w:t xml:space="preserve">
      Осы Келісімнің қолданылуы осы мүше мемлекетке қатысты депозитарийдің осындай хабарлама алған күнінен бастап 6 ай өткеннен кейін тоқтатылады. </w:t>
      </w:r>
    </w:p>
    <w:bookmarkStart w:name="z17" w:id="15"/>
    <w:p>
      <w:pPr>
        <w:spacing w:after="0"/>
        <w:ind w:left="0"/>
        <w:jc w:val="left"/>
      </w:pPr>
      <w:r>
        <w:rPr>
          <w:rFonts w:ascii="Times New Roman"/>
          <w:b/>
          <w:i w:val="false"/>
          <w:color w:val="000000"/>
        </w:rPr>
        <w:t xml:space="preserve"> 15-бап </w:t>
      </w:r>
    </w:p>
    <w:bookmarkEnd w:id="15"/>
    <w:p>
      <w:pPr>
        <w:spacing w:after="0"/>
        <w:ind w:left="0"/>
        <w:jc w:val="both"/>
      </w:pPr>
      <w:r>
        <w:rPr>
          <w:rFonts w:ascii="Times New Roman"/>
          <w:b w:val="false"/>
          <w:i w:val="false"/>
          <w:color w:val="000000"/>
          <w:sz w:val="28"/>
        </w:rPr>
        <w:t xml:space="preserve">
      Осы Келісімге кез келген мүше мемлекеттің ұсынысы бойынша басқа мүше мемлекеттердің келісімімен өзгерістер мен толықтырулар енгізілуі мүмкін. Олар Келісімнің ажырамас бөлігі болып табылатын жекелеген хаттамамен ресімделеді. </w:t>
      </w:r>
    </w:p>
    <w:p>
      <w:pPr>
        <w:spacing w:after="0"/>
        <w:ind w:left="0"/>
        <w:jc w:val="both"/>
      </w:pPr>
      <w:r>
        <w:rPr>
          <w:rFonts w:ascii="Times New Roman"/>
          <w:b w:val="false"/>
          <w:i w:val="false"/>
          <w:color w:val="000000"/>
          <w:sz w:val="28"/>
        </w:rPr>
        <w:t xml:space="preserve">
      Өзгерістер мен толықтырулар туралы хаттамалар осы Келісімнің 12-бабында көзделген тәртіппен күшіне енгізіледі. </w:t>
      </w:r>
    </w:p>
    <w:p>
      <w:pPr>
        <w:spacing w:after="0"/>
        <w:ind w:left="0"/>
        <w:jc w:val="both"/>
      </w:pPr>
      <w:r>
        <w:rPr>
          <w:rFonts w:ascii="Times New Roman"/>
          <w:b w:val="false"/>
          <w:i w:val="false"/>
          <w:color w:val="000000"/>
          <w:sz w:val="28"/>
        </w:rPr>
        <w:t xml:space="preserve">
      2007 жылғы 6 қазанда Душанбе қаласында орыс тілінде бір түпнұсқа данада жасалды. Осы Келісімнің түпнұсқа данасы осы Келісімге қол қойған әрбір мемлекетке оның расталған көшірмесін жолдайтын ҰҚШҰ-ның Хатшылығында сақталады.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 үшін</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Орыс тіліндегі түпнұсқаға сәйкес мемлекеттік тілге аударылды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ҚР Қорғаныс министрлігі Халықаралық ынтымақтастық департаменті бастығының орынбасары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полковник                           Ә. Кулбаев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