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efadd3" w14:textId="6efadd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"Кепілдік беру жағдайларын реттеуге арналған резервті есептеу және қалыптастыру әдістемесін бекіту туралы" 2016 жылғы 28 шілдедегі № 347 және "Кепілдік беру туралы шарт немесе реновациялау шеңберінде шарттар жасасу үшін көппәтерлі тұрғын үй немесе жеке тұрғын үйлер кешені құрылысының жобасы бойынша құжаттарды қарау қағидаларын бекіту туралы" 2016 жылғы 30 қыркүйектегі № 432 Қазақстан Республикасы Ұлттық экономика министрінің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2026 жылғы 25 қыркүйектегі № 478 бұйрығы. Қазақстан Республикасының Әділет министрлігінде 2026 жылғы 28 қыркүйекте № 39977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"Кепілдік беру жағдайларын реттеуге арналған резервті есептеу және қалыптастыру әдістемесін бекіту туралы" Қазақстан Республикасы Ұлттық экономика министрінің 2016 жылғы 28 шілдедегі № 347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14183 болып тіркелген) мынадай өзгеріс енгізілсін:</w:t>
      </w:r>
    </w:p>
    <w:bookmarkEnd w:id="1"/>
    <w:bookmarkStart w:name="z9" w:id="2"/>
    <w:p>
      <w:pPr>
        <w:spacing w:after="0"/>
        <w:ind w:left="0"/>
        <w:jc w:val="both"/>
      </w:pPr>
      <w:r>
        <w:rPr>
          <w:rFonts w:ascii="Times New Roman"/>
          <w:b w:val="false"/>
          <w:i w:val="false"/>
          <w:color w:val="000000"/>
          <w:sz w:val="28"/>
        </w:rPr>
        <w:t xml:space="preserve">
      осы бұйрықпен бекітілген Кепілдік беру жағдайларын реттеуге арналған резервті есептеу және қалыптастыру </w:t>
      </w:r>
      <w:r>
        <w:rPr>
          <w:rFonts w:ascii="Times New Roman"/>
          <w:b w:val="false"/>
          <w:i w:val="false"/>
          <w:color w:val="000000"/>
          <w:sz w:val="28"/>
        </w:rPr>
        <w:t>әдістемесінде</w:t>
      </w:r>
      <w:r>
        <w:rPr>
          <w:rFonts w:ascii="Times New Roman"/>
          <w:b w:val="false"/>
          <w:i w:val="false"/>
          <w:color w:val="000000"/>
          <w:sz w:val="28"/>
        </w:rPr>
        <w:t>:</w:t>
      </w:r>
    </w:p>
    <w:bookmarkEnd w:id="2"/>
    <w:bookmarkStart w:name="z10" w:id="3"/>
    <w:p>
      <w:pPr>
        <w:spacing w:after="0"/>
        <w:ind w:left="0"/>
        <w:jc w:val="both"/>
      </w:pPr>
      <w:r>
        <w:rPr>
          <w:rFonts w:ascii="Times New Roman"/>
          <w:b w:val="false"/>
          <w:i w:val="false"/>
          <w:color w:val="000000"/>
          <w:sz w:val="28"/>
        </w:rPr>
        <w:t xml:space="preserve">
      әдістемеге </w:t>
      </w:r>
      <w:r>
        <w:rPr>
          <w:rFonts w:ascii="Times New Roman"/>
          <w:b w:val="false"/>
          <w:i w:val="false"/>
          <w:color w:val="000000"/>
          <w:sz w:val="28"/>
        </w:rPr>
        <w:t>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3"/>
    <w:bookmarkStart w:name="z11" w:id="4"/>
    <w:p>
      <w:pPr>
        <w:spacing w:after="0"/>
        <w:ind w:left="0"/>
        <w:jc w:val="both"/>
      </w:pPr>
      <w:r>
        <w:rPr>
          <w:rFonts w:ascii="Times New Roman"/>
          <w:b w:val="false"/>
          <w:i w:val="false"/>
          <w:color w:val="000000"/>
          <w:sz w:val="28"/>
        </w:rPr>
        <w:t xml:space="preserve">
      2. "Кепілдік беру туралы шарт немесе реновациялау шеңберінде шарттар жасасу үшін көппәтерлі тұрғын үй немесе жеке тұрғын үйлер кешені құрылысының жобасы бойынша құжаттарды қарау қағидаларын бекіту туралы" Қазақстан Республикасы Ұлттық экономика министрінің 2016 жылғы 30 қыркүйектегі № 432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14312 болып тіркелген) мынадай өзгерістер енгізілсін:</w:t>
      </w:r>
    </w:p>
    <w:bookmarkEnd w:id="4"/>
    <w:bookmarkStart w:name="z12" w:id="5"/>
    <w:p>
      <w:pPr>
        <w:spacing w:after="0"/>
        <w:ind w:left="0"/>
        <w:jc w:val="both"/>
      </w:pPr>
      <w:r>
        <w:rPr>
          <w:rFonts w:ascii="Times New Roman"/>
          <w:b w:val="false"/>
          <w:i w:val="false"/>
          <w:color w:val="000000"/>
          <w:sz w:val="28"/>
        </w:rPr>
        <w:t xml:space="preserve">
      осы бұйрықпен бекітілген Кепілдік беру туралы шарт немесе реновациялау шеңберінде шарттар жасасу үшін көппәтерлі тұрғын үй немесе жеке тұрғын үйлер кешені құрылысының жобасы бойынша құжаттарды қарау </w:t>
      </w:r>
      <w:r>
        <w:rPr>
          <w:rFonts w:ascii="Times New Roman"/>
          <w:b w:val="false"/>
          <w:i w:val="false"/>
          <w:color w:val="000000"/>
          <w:sz w:val="28"/>
        </w:rPr>
        <w:t>қағидаларында</w:t>
      </w:r>
      <w:r>
        <w:rPr>
          <w:rFonts w:ascii="Times New Roman"/>
          <w:b w:val="false"/>
          <w:i w:val="false"/>
          <w:color w:val="000000"/>
          <w:sz w:val="28"/>
        </w:rPr>
        <w:t>:</w:t>
      </w:r>
    </w:p>
    <w:bookmarkEnd w:id="5"/>
    <w:bookmarkStart w:name="z13" w:id="6"/>
    <w:p>
      <w:pPr>
        <w:spacing w:after="0"/>
        <w:ind w:left="0"/>
        <w:jc w:val="both"/>
      </w:pPr>
      <w:r>
        <w:rPr>
          <w:rFonts w:ascii="Times New Roman"/>
          <w:b w:val="false"/>
          <w:i w:val="false"/>
          <w:color w:val="000000"/>
          <w:sz w:val="28"/>
        </w:rPr>
        <w:t xml:space="preserve">
      12-тармақтың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6"/>
    <w:bookmarkStart w:name="z14" w:id="7"/>
    <w:p>
      <w:pPr>
        <w:spacing w:after="0"/>
        <w:ind w:left="0"/>
        <w:jc w:val="both"/>
      </w:pPr>
      <w:r>
        <w:rPr>
          <w:rFonts w:ascii="Times New Roman"/>
          <w:b w:val="false"/>
          <w:i w:val="false"/>
          <w:color w:val="000000"/>
          <w:sz w:val="28"/>
        </w:rPr>
        <w:t>
      "6) Осы Қағидалардың 12 тармағымен айқындалған ерекшеліктерді ескере отырып, Уәкілетті компанияның мердігермен (бас мердігермен) жасасқан құрылыс мердігерлік шартының негізгі ережелерін талдау.";</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16" w:id="8"/>
    <w:p>
      <w:pPr>
        <w:spacing w:after="0"/>
        <w:ind w:left="0"/>
        <w:jc w:val="both"/>
      </w:pPr>
      <w:r>
        <w:rPr>
          <w:rFonts w:ascii="Times New Roman"/>
          <w:b w:val="false"/>
          <w:i w:val="false"/>
          <w:color w:val="000000"/>
          <w:sz w:val="28"/>
        </w:rPr>
        <w:t xml:space="preserve">
      "17. Кепілдік жарна мөлшерлемесін қолдану үшін құрылыс салушы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бағаланатын тәуекел факторы бойынша 50 және одан көп балл жинауы қажет.";</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42-тармақтың</w:t>
      </w:r>
      <w:r>
        <w:rPr>
          <w:rFonts w:ascii="Times New Roman"/>
          <w:b w:val="false"/>
          <w:i w:val="false"/>
          <w:color w:val="000000"/>
          <w:sz w:val="28"/>
        </w:rPr>
        <w:t xml:space="preserve"> екінші бөлігі мынадай редакцияда жазылсын:</w:t>
      </w:r>
    </w:p>
    <w:bookmarkStart w:name="z18" w:id="9"/>
    <w:p>
      <w:pPr>
        <w:spacing w:after="0"/>
        <w:ind w:left="0"/>
        <w:jc w:val="both"/>
      </w:pPr>
      <w:r>
        <w:rPr>
          <w:rFonts w:ascii="Times New Roman"/>
          <w:b w:val="false"/>
          <w:i w:val="false"/>
          <w:color w:val="000000"/>
          <w:sz w:val="28"/>
        </w:rPr>
        <w:t>
      "Бұл ретте, Бірыңғай оператор осы тармақтың 1) - 7) тармақшаларында көзделген негіздерден басқа, реновациялау шеңберінде кепілдік беру туралы шартты (Бірыңғай оператордың қосылуын) жасасудан мынадай негіздер бойынша:</w:t>
      </w:r>
    </w:p>
    <w:bookmarkEnd w:id="9"/>
    <w:bookmarkStart w:name="z19" w:id="10"/>
    <w:p>
      <w:pPr>
        <w:spacing w:after="0"/>
        <w:ind w:left="0"/>
        <w:jc w:val="both"/>
      </w:pPr>
      <w:r>
        <w:rPr>
          <w:rFonts w:ascii="Times New Roman"/>
          <w:b w:val="false"/>
          <w:i w:val="false"/>
          <w:color w:val="000000"/>
          <w:sz w:val="28"/>
        </w:rPr>
        <w:t>
      1) құрылыс салушы мен уәкілетті компанияның мына шарттарды уақытында жасамауы:</w:t>
      </w:r>
    </w:p>
    <w:bookmarkEnd w:id="10"/>
    <w:bookmarkStart w:name="z20" w:id="11"/>
    <w:p>
      <w:pPr>
        <w:spacing w:after="0"/>
        <w:ind w:left="0"/>
        <w:jc w:val="both"/>
      </w:pPr>
      <w:r>
        <w:rPr>
          <w:rFonts w:ascii="Times New Roman"/>
          <w:b w:val="false"/>
          <w:i w:val="false"/>
          <w:color w:val="000000"/>
          <w:sz w:val="28"/>
        </w:rPr>
        <w:t>
      құрылыс салушы мен Бірыңғай оператор арасындағы уәкілетті компанияның дауыс беру акцияларының (жарғылық капиталға қатысу үлестерінің) кепілі;</w:t>
      </w:r>
    </w:p>
    <w:bookmarkEnd w:id="11"/>
    <w:bookmarkStart w:name="z21" w:id="12"/>
    <w:p>
      <w:pPr>
        <w:spacing w:after="0"/>
        <w:ind w:left="0"/>
        <w:jc w:val="both"/>
      </w:pPr>
      <w:r>
        <w:rPr>
          <w:rFonts w:ascii="Times New Roman"/>
          <w:b w:val="false"/>
          <w:i w:val="false"/>
          <w:color w:val="000000"/>
          <w:sz w:val="28"/>
        </w:rPr>
        <w:t>
      құрылыс салушы мен Бірыңғай оператор арасында уәкілетті компанияның дауыс беру акцияларының (жарғылық капиталға қатысу үлестерінің) сенімгерлік басқару;</w:t>
      </w:r>
    </w:p>
    <w:bookmarkEnd w:id="12"/>
    <w:bookmarkStart w:name="z22" w:id="13"/>
    <w:p>
      <w:pPr>
        <w:spacing w:after="0"/>
        <w:ind w:left="0"/>
        <w:jc w:val="both"/>
      </w:pPr>
      <w:r>
        <w:rPr>
          <w:rFonts w:ascii="Times New Roman"/>
          <w:b w:val="false"/>
          <w:i w:val="false"/>
          <w:color w:val="000000"/>
          <w:sz w:val="28"/>
        </w:rPr>
        <w:t>
      2) реновациялау шеңберінде кепілдік беру туралы шарт реновациялау туралы шартының талаптарына сәйкес келмеген кезде;</w:t>
      </w:r>
    </w:p>
    <w:bookmarkEnd w:id="13"/>
    <w:bookmarkStart w:name="z23" w:id="14"/>
    <w:p>
      <w:pPr>
        <w:spacing w:after="0"/>
        <w:ind w:left="0"/>
        <w:jc w:val="both"/>
      </w:pPr>
      <w:r>
        <w:rPr>
          <w:rFonts w:ascii="Times New Roman"/>
          <w:b w:val="false"/>
          <w:i w:val="false"/>
          <w:color w:val="000000"/>
          <w:sz w:val="28"/>
        </w:rPr>
        <w:t>
      3) құрылыс салушы мен уәкілетті компания реновациялау туралы шарт жасалған сәттен бастап үш ай ішінде оған Бірыңғай оператордың қосылуы үшін реновациялау шеңберінде кепілдік беру туралы шартты ұсынбаған кезде бас тартады.";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44-тармақ</w:t>
      </w:r>
      <w:r>
        <w:rPr>
          <w:rFonts w:ascii="Times New Roman"/>
          <w:b w:val="false"/>
          <w:i w:val="false"/>
          <w:color w:val="000000"/>
          <w:sz w:val="28"/>
        </w:rPr>
        <w:t xml:space="preserve"> мынадай редакцияда жазылсын:</w:t>
      </w:r>
    </w:p>
    <w:bookmarkStart w:name="z25" w:id="15"/>
    <w:p>
      <w:pPr>
        <w:spacing w:after="0"/>
        <w:ind w:left="0"/>
        <w:jc w:val="both"/>
      </w:pPr>
      <w:r>
        <w:rPr>
          <w:rFonts w:ascii="Times New Roman"/>
          <w:b w:val="false"/>
          <w:i w:val="false"/>
          <w:color w:val="000000"/>
          <w:sz w:val="28"/>
        </w:rPr>
        <w:t>
      "44. Кепілдік жарна мөлшерлемесін қолдану үшін құрылыс салушы осы Қағидаларға 4-қосымшаға сәйкес бағаланатын тәуекелдер факторы бойынша 50 және одан көп балл жинауы қажет.";</w:t>
      </w:r>
    </w:p>
    <w:bookmarkEnd w:id="15"/>
    <w:bookmarkStart w:name="z26" w:id="16"/>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16"/>
    <w:bookmarkStart w:name="z27" w:id="17"/>
    <w:p>
      <w:pPr>
        <w:spacing w:after="0"/>
        <w:ind w:left="0"/>
        <w:jc w:val="both"/>
      </w:pPr>
      <w:r>
        <w:rPr>
          <w:rFonts w:ascii="Times New Roman"/>
          <w:b w:val="false"/>
          <w:i w:val="false"/>
          <w:color w:val="000000"/>
          <w:sz w:val="28"/>
        </w:rPr>
        <w:t>
      3.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17"/>
    <w:bookmarkStart w:name="z28" w:id="18"/>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18"/>
    <w:bookmarkStart w:name="z29" w:id="19"/>
    <w:p>
      <w:pPr>
        <w:spacing w:after="0"/>
        <w:ind w:left="0"/>
        <w:jc w:val="both"/>
      </w:pPr>
      <w:r>
        <w:rPr>
          <w:rFonts w:ascii="Times New Roman"/>
          <w:b w:val="false"/>
          <w:i w:val="false"/>
          <w:color w:val="000000"/>
          <w:sz w:val="28"/>
        </w:rPr>
        <w:t>
      2) осы бұйрықты алғашқы ресми жарияланған күнінен кейін Қазақстан Республикасы Өнеркәсіп және құрылыс министрлігінің интернет-ресурсында орналастыруды қамтамасыз етсін.</w:t>
      </w:r>
    </w:p>
    <w:bookmarkEnd w:id="19"/>
    <w:bookmarkStart w:name="z30" w:id="20"/>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Өнеркәсіп және құрылыс вице-министріне жүктелсiн.</w:t>
      </w:r>
    </w:p>
    <w:bookmarkEnd w:id="20"/>
    <w:bookmarkStart w:name="z31" w:id="21"/>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2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Өнеркәсіп және құрылыс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Исакулов</w:t>
            </w:r>
            <w:r>
              <w:rPr>
                <w:rFonts w:ascii="Times New Roman"/>
                <w:b w:val="false"/>
                <w:i w:val="false"/>
                <w:color w:val="000000"/>
                <w:sz w:val="20"/>
              </w:rPr>
              <w:t>
</w:t>
            </w:r>
          </w:p>
        </w:tc>
      </w:tr>
    </w:tbl>
    <w:bookmarkStart w:name="z33" w:id="22"/>
    <w:p>
      <w:pPr>
        <w:spacing w:after="0"/>
        <w:ind w:left="0"/>
        <w:jc w:val="both"/>
      </w:pPr>
      <w:r>
        <w:rPr>
          <w:rFonts w:ascii="Times New Roman"/>
          <w:b w:val="false"/>
          <w:i w:val="false"/>
          <w:color w:val="000000"/>
          <w:sz w:val="28"/>
        </w:rPr>
        <w:t>
      "КЕЛІСІЛДІ"</w:t>
      </w:r>
    </w:p>
    <w:bookmarkEnd w:id="22"/>
    <w:bookmarkStart w:name="z34" w:id="23"/>
    <w:p>
      <w:pPr>
        <w:spacing w:after="0"/>
        <w:ind w:left="0"/>
        <w:jc w:val="both"/>
      </w:pPr>
      <w:r>
        <w:rPr>
          <w:rFonts w:ascii="Times New Roman"/>
          <w:b w:val="false"/>
          <w:i w:val="false"/>
          <w:color w:val="000000"/>
          <w:sz w:val="28"/>
        </w:rPr>
        <w:t>
      Қазақстан Республикасы</w:t>
      </w:r>
    </w:p>
    <w:bookmarkEnd w:id="23"/>
    <w:bookmarkStart w:name="z35" w:id="24"/>
    <w:p>
      <w:pPr>
        <w:spacing w:after="0"/>
        <w:ind w:left="0"/>
        <w:jc w:val="both"/>
      </w:pPr>
      <w:r>
        <w:rPr>
          <w:rFonts w:ascii="Times New Roman"/>
          <w:b w:val="false"/>
          <w:i w:val="false"/>
          <w:color w:val="000000"/>
          <w:sz w:val="28"/>
        </w:rPr>
        <w:t>
      Қаржы министрлігі</w:t>
      </w:r>
    </w:p>
    <w:bookmarkEnd w:id="24"/>
    <w:bookmarkStart w:name="z36" w:id="25"/>
    <w:p>
      <w:pPr>
        <w:spacing w:after="0"/>
        <w:ind w:left="0"/>
        <w:jc w:val="both"/>
      </w:pPr>
      <w:r>
        <w:rPr>
          <w:rFonts w:ascii="Times New Roman"/>
          <w:b w:val="false"/>
          <w:i w:val="false"/>
          <w:color w:val="000000"/>
          <w:sz w:val="28"/>
        </w:rPr>
        <w:t>
       "КЕЛІСІЛДІ"</w:t>
      </w:r>
    </w:p>
    <w:bookmarkEnd w:id="25"/>
    <w:bookmarkStart w:name="z37" w:id="26"/>
    <w:p>
      <w:pPr>
        <w:spacing w:after="0"/>
        <w:ind w:left="0"/>
        <w:jc w:val="both"/>
      </w:pPr>
      <w:r>
        <w:rPr>
          <w:rFonts w:ascii="Times New Roman"/>
          <w:b w:val="false"/>
          <w:i w:val="false"/>
          <w:color w:val="000000"/>
          <w:sz w:val="28"/>
        </w:rPr>
        <w:t xml:space="preserve">
      Қазақстан Республикасы </w:t>
      </w:r>
    </w:p>
    <w:bookmarkEnd w:id="26"/>
    <w:bookmarkStart w:name="z38" w:id="27"/>
    <w:p>
      <w:pPr>
        <w:spacing w:after="0"/>
        <w:ind w:left="0"/>
        <w:jc w:val="both"/>
      </w:pPr>
      <w:r>
        <w:rPr>
          <w:rFonts w:ascii="Times New Roman"/>
          <w:b w:val="false"/>
          <w:i w:val="false"/>
          <w:color w:val="000000"/>
          <w:sz w:val="28"/>
        </w:rPr>
        <w:t xml:space="preserve">
      Ұлттық экономика министрлігі </w:t>
      </w:r>
    </w:p>
    <w:bookmarkEnd w:id="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2026 жылғы 25 қыркүйектегі</w:t>
            </w:r>
            <w:r>
              <w:br/>
            </w:r>
            <w:r>
              <w:rPr>
                <w:rFonts w:ascii="Times New Roman"/>
                <w:b w:val="false"/>
                <w:i w:val="false"/>
                <w:color w:val="000000"/>
                <w:sz w:val="20"/>
              </w:rPr>
              <w:t>№ 478 Бұйрыққа</w:t>
            </w:r>
            <w:r>
              <w:br/>
            </w:r>
            <w:r>
              <w:rPr>
                <w:rFonts w:ascii="Times New Roman"/>
                <w:b w:val="false"/>
                <w:i w:val="false"/>
                <w:color w:val="000000"/>
                <w:sz w:val="20"/>
              </w:rPr>
              <w:t>1 қосымша</w:t>
            </w:r>
            <w:r>
              <w:br/>
            </w:r>
            <w:r>
              <w:rPr>
                <w:rFonts w:ascii="Times New Roman"/>
                <w:b w:val="false"/>
                <w:i w:val="false"/>
                <w:color w:val="000000"/>
                <w:sz w:val="20"/>
              </w:rPr>
              <w:t>Кепілдік беру жағдайларын</w:t>
            </w:r>
            <w:r>
              <w:br/>
            </w:r>
            <w:r>
              <w:rPr>
                <w:rFonts w:ascii="Times New Roman"/>
                <w:b w:val="false"/>
                <w:i w:val="false"/>
                <w:color w:val="000000"/>
                <w:sz w:val="20"/>
              </w:rPr>
              <w:t>реттеуге арналған резервті</w:t>
            </w:r>
            <w:r>
              <w:br/>
            </w:r>
            <w:r>
              <w:rPr>
                <w:rFonts w:ascii="Times New Roman"/>
                <w:b w:val="false"/>
                <w:i w:val="false"/>
                <w:color w:val="000000"/>
                <w:sz w:val="20"/>
              </w:rPr>
              <w:t>есептеу және қалыптастыру</w:t>
            </w:r>
            <w:r>
              <w:br/>
            </w:r>
            <w:r>
              <w:rPr>
                <w:rFonts w:ascii="Times New Roman"/>
                <w:b w:val="false"/>
                <w:i w:val="false"/>
                <w:color w:val="000000"/>
                <w:sz w:val="20"/>
              </w:rPr>
              <w:t>әдістемесіне қосымша</w:t>
            </w:r>
          </w:p>
        </w:tc>
      </w:tr>
    </w:tbl>
    <w:bookmarkStart w:name="z40" w:id="28"/>
    <w:p>
      <w:pPr>
        <w:spacing w:after="0"/>
        <w:ind w:left="0"/>
        <w:jc w:val="left"/>
      </w:pPr>
      <w:r>
        <w:rPr>
          <w:rFonts w:ascii="Times New Roman"/>
          <w:b/>
          <w:i w:val="false"/>
          <w:color w:val="000000"/>
        </w:rPr>
        <w:t xml:space="preserve"> Құрылыс салушының рейтингін анықтау</w:t>
      </w:r>
    </w:p>
    <w:bookmarkEnd w:id="28"/>
    <w:bookmarkStart w:name="z41" w:id="29"/>
    <w:p>
      <w:pPr>
        <w:spacing w:after="0"/>
        <w:ind w:left="0"/>
        <w:jc w:val="both"/>
      </w:pPr>
      <w:r>
        <w:rPr>
          <w:rFonts w:ascii="Times New Roman"/>
          <w:b w:val="false"/>
          <w:i w:val="false"/>
          <w:color w:val="000000"/>
          <w:sz w:val="28"/>
        </w:rPr>
        <w:t>
      Құрылыс салушының рейтингісін айқындау үшін Қазақстан Республикасы Ұлттық экономика министрінің 2016 жылғы 28 шілдедегі № 338 бұйрығымен бекітілген (Нормативтік-құқықтық актілерді мемлекеттік тіркеу тізілімінде № 14190 болып тіркелген) Кепілдік жарнаның мөлшерін айқындау әдістемесімен көзделген көрсеткіштерге және тәуекелдер факторына баға беруге негізделген көп факторлы үлгіге сәйкес балдардың саны есептеледі.</w:t>
      </w:r>
    </w:p>
    <w:bookmarkEnd w:id="29"/>
    <w:bookmarkStart w:name="z42" w:id="30"/>
    <w:p>
      <w:pPr>
        <w:spacing w:after="0"/>
        <w:ind w:left="0"/>
        <w:jc w:val="both"/>
      </w:pPr>
      <w:r>
        <w:rPr>
          <w:rFonts w:ascii="Times New Roman"/>
          <w:b w:val="false"/>
          <w:i w:val="false"/>
          <w:color w:val="000000"/>
          <w:sz w:val="28"/>
        </w:rPr>
        <w:t>
      Балл санына байланысты құрылыс салушыға рейтинг және тиісті PD мәні беріледі.</w:t>
      </w:r>
    </w:p>
    <w:bookmarkEnd w:id="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 w:id="31"/>
          <w:p>
            <w:pPr>
              <w:spacing w:after="20"/>
              <w:ind w:left="20"/>
              <w:jc w:val="both"/>
            </w:pPr>
            <w:r>
              <w:rPr>
                <w:rFonts w:ascii="Times New Roman"/>
                <w:b w:val="false"/>
                <w:i w:val="false"/>
                <w:color w:val="000000"/>
                <w:sz w:val="20"/>
              </w:rPr>
              <w:t>
100 балл</w:t>
            </w:r>
          </w:p>
          <w:bookmarkEnd w:id="31"/>
          <w:p>
            <w:pPr>
              <w:spacing w:after="20"/>
              <w:ind w:left="20"/>
              <w:jc w:val="both"/>
            </w:pPr>
            <w:r>
              <w:rPr>
                <w:rFonts w:ascii="Times New Roman"/>
                <w:b w:val="false"/>
                <w:i w:val="false"/>
                <w:color w:val="000000"/>
                <w:sz w:val="20"/>
              </w:rPr>
              <w:t>
</w:t>
            </w:r>
            <w:r>
              <w:rPr>
                <w:rFonts w:ascii="Times New Roman"/>
                <w:b w:val="false"/>
                <w:i w:val="false"/>
                <w:color w:val="000000"/>
                <w:sz w:val="20"/>
              </w:rPr>
              <w:t>99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98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97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96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95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94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93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92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91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90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89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88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87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86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85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84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83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82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81 балл</w:t>
            </w:r>
          </w:p>
          <w:p>
            <w:pPr>
              <w:spacing w:after="20"/>
              <w:ind w:left="20"/>
              <w:jc w:val="both"/>
            </w:pPr>
            <w:r>
              <w:rPr>
                <w:rFonts w:ascii="Times New Roman"/>
                <w:b w:val="false"/>
                <w:i w:val="false"/>
                <w:color w:val="000000"/>
                <w:sz w:val="20"/>
              </w:rPr>
              <w:t>
80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32"/>
          <w:p>
            <w:pPr>
              <w:spacing w:after="20"/>
              <w:ind w:left="20"/>
              <w:jc w:val="both"/>
            </w:pPr>
            <w:r>
              <w:rPr>
                <w:rFonts w:ascii="Times New Roman"/>
                <w:b w:val="false"/>
                <w:i w:val="false"/>
                <w:color w:val="000000"/>
                <w:sz w:val="20"/>
              </w:rPr>
              <w:t>
1,0</w:t>
            </w:r>
          </w:p>
          <w:bookmarkEnd w:id="32"/>
          <w:p>
            <w:pPr>
              <w:spacing w:after="20"/>
              <w:ind w:left="20"/>
              <w:jc w:val="both"/>
            </w:pPr>
            <w:r>
              <w:rPr>
                <w:rFonts w:ascii="Times New Roman"/>
                <w:b w:val="false"/>
                <w:i w:val="false"/>
                <w:color w:val="000000"/>
                <w:sz w:val="20"/>
              </w:rPr>
              <w:t>
</w:t>
            </w:r>
            <w:r>
              <w:rPr>
                <w:rFonts w:ascii="Times New Roman"/>
                <w:b w:val="false"/>
                <w:i w:val="false"/>
                <w:color w:val="000000"/>
                <w:sz w:val="20"/>
              </w:rPr>
              <w:t>1,1</w:t>
            </w:r>
          </w:p>
          <w:p>
            <w:pPr>
              <w:spacing w:after="20"/>
              <w:ind w:left="20"/>
              <w:jc w:val="both"/>
            </w:pPr>
            <w:r>
              <w:rPr>
                <w:rFonts w:ascii="Times New Roman"/>
                <w:b w:val="false"/>
                <w:i w:val="false"/>
                <w:color w:val="000000"/>
                <w:sz w:val="20"/>
              </w:rPr>
              <w:t>
</w:t>
            </w:r>
            <w:r>
              <w:rPr>
                <w:rFonts w:ascii="Times New Roman"/>
                <w:b w:val="false"/>
                <w:i w:val="false"/>
                <w:color w:val="000000"/>
                <w:sz w:val="20"/>
              </w:rPr>
              <w:t>1,2</w:t>
            </w:r>
          </w:p>
          <w:p>
            <w:pPr>
              <w:spacing w:after="20"/>
              <w:ind w:left="20"/>
              <w:jc w:val="both"/>
            </w:pPr>
            <w:r>
              <w:rPr>
                <w:rFonts w:ascii="Times New Roman"/>
                <w:b w:val="false"/>
                <w:i w:val="false"/>
                <w:color w:val="000000"/>
                <w:sz w:val="20"/>
              </w:rPr>
              <w:t>
</w:t>
            </w:r>
            <w:r>
              <w:rPr>
                <w:rFonts w:ascii="Times New Roman"/>
                <w:b w:val="false"/>
                <w:i w:val="false"/>
                <w:color w:val="000000"/>
                <w:sz w:val="20"/>
              </w:rPr>
              <w:t>1,3</w:t>
            </w:r>
          </w:p>
          <w:p>
            <w:pPr>
              <w:spacing w:after="20"/>
              <w:ind w:left="20"/>
              <w:jc w:val="both"/>
            </w:pPr>
            <w:r>
              <w:rPr>
                <w:rFonts w:ascii="Times New Roman"/>
                <w:b w:val="false"/>
                <w:i w:val="false"/>
                <w:color w:val="000000"/>
                <w:sz w:val="20"/>
              </w:rPr>
              <w:t>
</w:t>
            </w:r>
            <w:r>
              <w:rPr>
                <w:rFonts w:ascii="Times New Roman"/>
                <w:b w:val="false"/>
                <w:i w:val="false"/>
                <w:color w:val="000000"/>
                <w:sz w:val="20"/>
              </w:rPr>
              <w:t>1,4</w:t>
            </w:r>
          </w:p>
          <w:p>
            <w:pPr>
              <w:spacing w:after="20"/>
              <w:ind w:left="20"/>
              <w:jc w:val="both"/>
            </w:pPr>
            <w:r>
              <w:rPr>
                <w:rFonts w:ascii="Times New Roman"/>
                <w:b w:val="false"/>
                <w:i w:val="false"/>
                <w:color w:val="000000"/>
                <w:sz w:val="20"/>
              </w:rPr>
              <w:t>
</w:t>
            </w:r>
            <w:r>
              <w:rPr>
                <w:rFonts w:ascii="Times New Roman"/>
                <w:b w:val="false"/>
                <w:i w:val="false"/>
                <w:color w:val="000000"/>
                <w:sz w:val="20"/>
              </w:rPr>
              <w:t>1,5</w:t>
            </w:r>
          </w:p>
          <w:p>
            <w:pPr>
              <w:spacing w:after="20"/>
              <w:ind w:left="20"/>
              <w:jc w:val="both"/>
            </w:pPr>
            <w:r>
              <w:rPr>
                <w:rFonts w:ascii="Times New Roman"/>
                <w:b w:val="false"/>
                <w:i w:val="false"/>
                <w:color w:val="000000"/>
                <w:sz w:val="20"/>
              </w:rPr>
              <w:t>
</w:t>
            </w:r>
            <w:r>
              <w:rPr>
                <w:rFonts w:ascii="Times New Roman"/>
                <w:b w:val="false"/>
                <w:i w:val="false"/>
                <w:color w:val="000000"/>
                <w:sz w:val="20"/>
              </w:rPr>
              <w:t>1,6</w:t>
            </w:r>
          </w:p>
          <w:p>
            <w:pPr>
              <w:spacing w:after="20"/>
              <w:ind w:left="20"/>
              <w:jc w:val="both"/>
            </w:pPr>
            <w:r>
              <w:rPr>
                <w:rFonts w:ascii="Times New Roman"/>
                <w:b w:val="false"/>
                <w:i w:val="false"/>
                <w:color w:val="000000"/>
                <w:sz w:val="20"/>
              </w:rPr>
              <w:t>
</w:t>
            </w:r>
            <w:r>
              <w:rPr>
                <w:rFonts w:ascii="Times New Roman"/>
                <w:b w:val="false"/>
                <w:i w:val="false"/>
                <w:color w:val="000000"/>
                <w:sz w:val="20"/>
              </w:rPr>
              <w:t>1,7</w:t>
            </w:r>
          </w:p>
          <w:p>
            <w:pPr>
              <w:spacing w:after="20"/>
              <w:ind w:left="20"/>
              <w:jc w:val="both"/>
            </w:pPr>
            <w:r>
              <w:rPr>
                <w:rFonts w:ascii="Times New Roman"/>
                <w:b w:val="false"/>
                <w:i w:val="false"/>
                <w:color w:val="000000"/>
                <w:sz w:val="20"/>
              </w:rPr>
              <w:t>
</w:t>
            </w:r>
            <w:r>
              <w:rPr>
                <w:rFonts w:ascii="Times New Roman"/>
                <w:b w:val="false"/>
                <w:i w:val="false"/>
                <w:color w:val="000000"/>
                <w:sz w:val="20"/>
              </w:rPr>
              <w:t>1,8</w:t>
            </w:r>
          </w:p>
          <w:p>
            <w:pPr>
              <w:spacing w:after="20"/>
              <w:ind w:left="20"/>
              <w:jc w:val="both"/>
            </w:pPr>
            <w:r>
              <w:rPr>
                <w:rFonts w:ascii="Times New Roman"/>
                <w:b w:val="false"/>
                <w:i w:val="false"/>
                <w:color w:val="000000"/>
                <w:sz w:val="20"/>
              </w:rPr>
              <w:t>
</w:t>
            </w:r>
            <w:r>
              <w:rPr>
                <w:rFonts w:ascii="Times New Roman"/>
                <w:b w:val="false"/>
                <w:i w:val="false"/>
                <w:color w:val="000000"/>
                <w:sz w:val="20"/>
              </w:rPr>
              <w:t>1,9</w:t>
            </w:r>
          </w:p>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33"/>
          <w:p>
            <w:pPr>
              <w:spacing w:after="20"/>
              <w:ind w:left="20"/>
              <w:jc w:val="both"/>
            </w:pPr>
            <w:r>
              <w:rPr>
                <w:rFonts w:ascii="Times New Roman"/>
                <w:b w:val="false"/>
                <w:i w:val="false"/>
                <w:color w:val="000000"/>
                <w:sz w:val="20"/>
              </w:rPr>
              <w:t>
2,1</w:t>
            </w:r>
          </w:p>
          <w:bookmarkEnd w:id="33"/>
          <w:p>
            <w:pPr>
              <w:spacing w:after="20"/>
              <w:ind w:left="20"/>
              <w:jc w:val="both"/>
            </w:pPr>
            <w:r>
              <w:rPr>
                <w:rFonts w:ascii="Times New Roman"/>
                <w:b w:val="false"/>
                <w:i w:val="false"/>
                <w:color w:val="000000"/>
                <w:sz w:val="20"/>
              </w:rPr>
              <w:t>
</w:t>
            </w:r>
            <w:r>
              <w:rPr>
                <w:rFonts w:ascii="Times New Roman"/>
                <w:b w:val="false"/>
                <w:i w:val="false"/>
                <w:color w:val="000000"/>
                <w:sz w:val="20"/>
              </w:rPr>
              <w:t>2,2</w:t>
            </w:r>
          </w:p>
          <w:p>
            <w:pPr>
              <w:spacing w:after="20"/>
              <w:ind w:left="20"/>
              <w:jc w:val="both"/>
            </w:pPr>
            <w:r>
              <w:rPr>
                <w:rFonts w:ascii="Times New Roman"/>
                <w:b w:val="false"/>
                <w:i w:val="false"/>
                <w:color w:val="000000"/>
                <w:sz w:val="20"/>
              </w:rPr>
              <w:t>
</w:t>
            </w:r>
            <w:r>
              <w:rPr>
                <w:rFonts w:ascii="Times New Roman"/>
                <w:b w:val="false"/>
                <w:i w:val="false"/>
                <w:color w:val="000000"/>
                <w:sz w:val="20"/>
              </w:rPr>
              <w:t>2,3</w:t>
            </w:r>
          </w:p>
          <w:p>
            <w:pPr>
              <w:spacing w:after="20"/>
              <w:ind w:left="20"/>
              <w:jc w:val="both"/>
            </w:pPr>
            <w:r>
              <w:rPr>
                <w:rFonts w:ascii="Times New Roman"/>
                <w:b w:val="false"/>
                <w:i w:val="false"/>
                <w:color w:val="000000"/>
                <w:sz w:val="20"/>
              </w:rPr>
              <w:t>
</w:t>
            </w:r>
            <w:r>
              <w:rPr>
                <w:rFonts w:ascii="Times New Roman"/>
                <w:b w:val="false"/>
                <w:i w:val="false"/>
                <w:color w:val="000000"/>
                <w:sz w:val="20"/>
              </w:rPr>
              <w:t>2,4</w:t>
            </w:r>
          </w:p>
          <w:p>
            <w:pPr>
              <w:spacing w:after="20"/>
              <w:ind w:left="20"/>
              <w:jc w:val="both"/>
            </w:pPr>
            <w:r>
              <w:rPr>
                <w:rFonts w:ascii="Times New Roman"/>
                <w:b w:val="false"/>
                <w:i w:val="false"/>
                <w:color w:val="000000"/>
                <w:sz w:val="20"/>
              </w:rPr>
              <w:t>
</w:t>
            </w:r>
            <w:r>
              <w:rPr>
                <w:rFonts w:ascii="Times New Roman"/>
                <w:b w:val="false"/>
                <w:i w:val="false"/>
                <w:color w:val="000000"/>
                <w:sz w:val="20"/>
              </w:rPr>
              <w:t>2,5</w:t>
            </w:r>
          </w:p>
          <w:p>
            <w:pPr>
              <w:spacing w:after="20"/>
              <w:ind w:left="20"/>
              <w:jc w:val="both"/>
            </w:pPr>
            <w:r>
              <w:rPr>
                <w:rFonts w:ascii="Times New Roman"/>
                <w:b w:val="false"/>
                <w:i w:val="false"/>
                <w:color w:val="000000"/>
                <w:sz w:val="20"/>
              </w:rPr>
              <w:t>
</w:t>
            </w:r>
            <w:r>
              <w:rPr>
                <w:rFonts w:ascii="Times New Roman"/>
                <w:b w:val="false"/>
                <w:i w:val="false"/>
                <w:color w:val="000000"/>
                <w:sz w:val="20"/>
              </w:rPr>
              <w:t>2,6</w:t>
            </w:r>
          </w:p>
          <w:p>
            <w:pPr>
              <w:spacing w:after="20"/>
              <w:ind w:left="20"/>
              <w:jc w:val="both"/>
            </w:pPr>
            <w:r>
              <w:rPr>
                <w:rFonts w:ascii="Times New Roman"/>
                <w:b w:val="false"/>
                <w:i w:val="false"/>
                <w:color w:val="000000"/>
                <w:sz w:val="20"/>
              </w:rPr>
              <w:t>
</w:t>
            </w:r>
            <w:r>
              <w:rPr>
                <w:rFonts w:ascii="Times New Roman"/>
                <w:b w:val="false"/>
                <w:i w:val="false"/>
                <w:color w:val="000000"/>
                <w:sz w:val="20"/>
              </w:rPr>
              <w:t>2,7</w:t>
            </w:r>
          </w:p>
          <w:p>
            <w:pPr>
              <w:spacing w:after="20"/>
              <w:ind w:left="20"/>
              <w:jc w:val="both"/>
            </w:pPr>
            <w:r>
              <w:rPr>
                <w:rFonts w:ascii="Times New Roman"/>
                <w:b w:val="false"/>
                <w:i w:val="false"/>
                <w:color w:val="000000"/>
                <w:sz w:val="20"/>
              </w:rPr>
              <w:t>
</w:t>
            </w:r>
            <w:r>
              <w:rPr>
                <w:rFonts w:ascii="Times New Roman"/>
                <w:b w:val="false"/>
                <w:i w:val="false"/>
                <w:color w:val="000000"/>
                <w:sz w:val="20"/>
              </w:rPr>
              <w:t>2,8</w:t>
            </w:r>
          </w:p>
          <w:p>
            <w:pPr>
              <w:spacing w:after="20"/>
              <w:ind w:left="20"/>
              <w:jc w:val="both"/>
            </w:pPr>
            <w:r>
              <w:rPr>
                <w:rFonts w:ascii="Times New Roman"/>
                <w:b w:val="false"/>
                <w:i w:val="false"/>
                <w:color w:val="000000"/>
                <w:sz w:val="20"/>
              </w:rPr>
              <w:t>
</w:t>
            </w:r>
            <w:r>
              <w:rPr>
                <w:rFonts w:ascii="Times New Roman"/>
                <w:b w:val="false"/>
                <w:i w:val="false"/>
                <w:color w:val="000000"/>
                <w:sz w:val="20"/>
              </w:rPr>
              <w:t>2,9</w:t>
            </w:r>
          </w:p>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34"/>
          <w:p>
            <w:pPr>
              <w:spacing w:after="20"/>
              <w:ind w:left="20"/>
              <w:jc w:val="both"/>
            </w:pPr>
            <w:r>
              <w:rPr>
                <w:rFonts w:ascii="Times New Roman"/>
                <w:b w:val="false"/>
                <w:i w:val="false"/>
                <w:color w:val="000000"/>
                <w:sz w:val="20"/>
              </w:rPr>
              <w:t>
79 балл</w:t>
            </w:r>
          </w:p>
          <w:bookmarkEnd w:id="34"/>
          <w:p>
            <w:pPr>
              <w:spacing w:after="20"/>
              <w:ind w:left="20"/>
              <w:jc w:val="both"/>
            </w:pPr>
            <w:r>
              <w:rPr>
                <w:rFonts w:ascii="Times New Roman"/>
                <w:b w:val="false"/>
                <w:i w:val="false"/>
                <w:color w:val="000000"/>
                <w:sz w:val="20"/>
              </w:rPr>
              <w:t>
</w:t>
            </w:r>
            <w:r>
              <w:rPr>
                <w:rFonts w:ascii="Times New Roman"/>
                <w:b w:val="false"/>
                <w:i w:val="false"/>
                <w:color w:val="000000"/>
                <w:sz w:val="20"/>
              </w:rPr>
              <w:t>78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77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76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75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74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73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72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71 балл</w:t>
            </w:r>
          </w:p>
          <w:p>
            <w:pPr>
              <w:spacing w:after="20"/>
              <w:ind w:left="20"/>
              <w:jc w:val="both"/>
            </w:pPr>
            <w:r>
              <w:rPr>
                <w:rFonts w:ascii="Times New Roman"/>
                <w:b w:val="false"/>
                <w:i w:val="false"/>
                <w:color w:val="000000"/>
                <w:sz w:val="20"/>
              </w:rPr>
              <w:t>
70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35"/>
          <w:p>
            <w:pPr>
              <w:spacing w:after="20"/>
              <w:ind w:left="20"/>
              <w:jc w:val="both"/>
            </w:pPr>
            <w:r>
              <w:rPr>
                <w:rFonts w:ascii="Times New Roman"/>
                <w:b w:val="false"/>
                <w:i w:val="false"/>
                <w:color w:val="000000"/>
                <w:sz w:val="20"/>
              </w:rPr>
              <w:t>
3,1</w:t>
            </w:r>
          </w:p>
          <w:bookmarkEnd w:id="35"/>
          <w:p>
            <w:pPr>
              <w:spacing w:after="20"/>
              <w:ind w:left="20"/>
              <w:jc w:val="both"/>
            </w:pPr>
            <w:r>
              <w:rPr>
                <w:rFonts w:ascii="Times New Roman"/>
                <w:b w:val="false"/>
                <w:i w:val="false"/>
                <w:color w:val="000000"/>
                <w:sz w:val="20"/>
              </w:rPr>
              <w:t>
</w:t>
            </w:r>
            <w:r>
              <w:rPr>
                <w:rFonts w:ascii="Times New Roman"/>
                <w:b w:val="false"/>
                <w:i w:val="false"/>
                <w:color w:val="000000"/>
                <w:sz w:val="20"/>
              </w:rPr>
              <w:t>3,2</w:t>
            </w:r>
          </w:p>
          <w:p>
            <w:pPr>
              <w:spacing w:after="20"/>
              <w:ind w:left="20"/>
              <w:jc w:val="both"/>
            </w:pPr>
            <w:r>
              <w:rPr>
                <w:rFonts w:ascii="Times New Roman"/>
                <w:b w:val="false"/>
                <w:i w:val="false"/>
                <w:color w:val="000000"/>
                <w:sz w:val="20"/>
              </w:rPr>
              <w:t>
</w:t>
            </w:r>
            <w:r>
              <w:rPr>
                <w:rFonts w:ascii="Times New Roman"/>
                <w:b w:val="false"/>
                <w:i w:val="false"/>
                <w:color w:val="000000"/>
                <w:sz w:val="20"/>
              </w:rPr>
              <w:t>3,3</w:t>
            </w:r>
          </w:p>
          <w:p>
            <w:pPr>
              <w:spacing w:after="20"/>
              <w:ind w:left="20"/>
              <w:jc w:val="both"/>
            </w:pPr>
            <w:r>
              <w:rPr>
                <w:rFonts w:ascii="Times New Roman"/>
                <w:b w:val="false"/>
                <w:i w:val="false"/>
                <w:color w:val="000000"/>
                <w:sz w:val="20"/>
              </w:rPr>
              <w:t>
</w:t>
            </w:r>
            <w:r>
              <w:rPr>
                <w:rFonts w:ascii="Times New Roman"/>
                <w:b w:val="false"/>
                <w:i w:val="false"/>
                <w:color w:val="000000"/>
                <w:sz w:val="20"/>
              </w:rPr>
              <w:t>3,4</w:t>
            </w:r>
          </w:p>
          <w:p>
            <w:pPr>
              <w:spacing w:after="20"/>
              <w:ind w:left="20"/>
              <w:jc w:val="both"/>
            </w:pPr>
            <w:r>
              <w:rPr>
                <w:rFonts w:ascii="Times New Roman"/>
                <w:b w:val="false"/>
                <w:i w:val="false"/>
                <w:color w:val="000000"/>
                <w:sz w:val="20"/>
              </w:rPr>
              <w:t>
</w:t>
            </w:r>
            <w:r>
              <w:rPr>
                <w:rFonts w:ascii="Times New Roman"/>
                <w:b w:val="false"/>
                <w:i w:val="false"/>
                <w:color w:val="000000"/>
                <w:sz w:val="20"/>
              </w:rPr>
              <w:t>3,5</w:t>
            </w:r>
          </w:p>
          <w:p>
            <w:pPr>
              <w:spacing w:after="20"/>
              <w:ind w:left="20"/>
              <w:jc w:val="both"/>
            </w:pPr>
            <w:r>
              <w:rPr>
                <w:rFonts w:ascii="Times New Roman"/>
                <w:b w:val="false"/>
                <w:i w:val="false"/>
                <w:color w:val="000000"/>
                <w:sz w:val="20"/>
              </w:rPr>
              <w:t>
</w:t>
            </w:r>
            <w:r>
              <w:rPr>
                <w:rFonts w:ascii="Times New Roman"/>
                <w:b w:val="false"/>
                <w:i w:val="false"/>
                <w:color w:val="000000"/>
                <w:sz w:val="20"/>
              </w:rPr>
              <w:t>3,6</w:t>
            </w:r>
          </w:p>
          <w:p>
            <w:pPr>
              <w:spacing w:after="20"/>
              <w:ind w:left="20"/>
              <w:jc w:val="both"/>
            </w:pPr>
            <w:r>
              <w:rPr>
                <w:rFonts w:ascii="Times New Roman"/>
                <w:b w:val="false"/>
                <w:i w:val="false"/>
                <w:color w:val="000000"/>
                <w:sz w:val="20"/>
              </w:rPr>
              <w:t>
</w:t>
            </w:r>
            <w:r>
              <w:rPr>
                <w:rFonts w:ascii="Times New Roman"/>
                <w:b w:val="false"/>
                <w:i w:val="false"/>
                <w:color w:val="000000"/>
                <w:sz w:val="20"/>
              </w:rPr>
              <w:t>3,7</w:t>
            </w:r>
          </w:p>
          <w:p>
            <w:pPr>
              <w:spacing w:after="20"/>
              <w:ind w:left="20"/>
              <w:jc w:val="both"/>
            </w:pPr>
            <w:r>
              <w:rPr>
                <w:rFonts w:ascii="Times New Roman"/>
                <w:b w:val="false"/>
                <w:i w:val="false"/>
                <w:color w:val="000000"/>
                <w:sz w:val="20"/>
              </w:rPr>
              <w:t>
</w:t>
            </w:r>
            <w:r>
              <w:rPr>
                <w:rFonts w:ascii="Times New Roman"/>
                <w:b w:val="false"/>
                <w:i w:val="false"/>
                <w:color w:val="000000"/>
                <w:sz w:val="20"/>
              </w:rPr>
              <w:t>3,8</w:t>
            </w:r>
          </w:p>
          <w:p>
            <w:pPr>
              <w:spacing w:after="20"/>
              <w:ind w:left="20"/>
              <w:jc w:val="both"/>
            </w:pPr>
            <w:r>
              <w:rPr>
                <w:rFonts w:ascii="Times New Roman"/>
                <w:b w:val="false"/>
                <w:i w:val="false"/>
                <w:color w:val="000000"/>
                <w:sz w:val="20"/>
              </w:rPr>
              <w:t>
</w:t>
            </w:r>
            <w:r>
              <w:rPr>
                <w:rFonts w:ascii="Times New Roman"/>
                <w:b w:val="false"/>
                <w:i w:val="false"/>
                <w:color w:val="000000"/>
                <w:sz w:val="20"/>
              </w:rPr>
              <w:t>3,9</w:t>
            </w:r>
          </w:p>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36"/>
          <w:p>
            <w:pPr>
              <w:spacing w:after="20"/>
              <w:ind w:left="20"/>
              <w:jc w:val="both"/>
            </w:pPr>
            <w:r>
              <w:rPr>
                <w:rFonts w:ascii="Times New Roman"/>
                <w:b w:val="false"/>
                <w:i w:val="false"/>
                <w:color w:val="000000"/>
                <w:sz w:val="20"/>
              </w:rPr>
              <w:t>
69 балл</w:t>
            </w:r>
          </w:p>
          <w:bookmarkEnd w:id="36"/>
          <w:p>
            <w:pPr>
              <w:spacing w:after="20"/>
              <w:ind w:left="20"/>
              <w:jc w:val="both"/>
            </w:pPr>
            <w:r>
              <w:rPr>
                <w:rFonts w:ascii="Times New Roman"/>
                <w:b w:val="false"/>
                <w:i w:val="false"/>
                <w:color w:val="000000"/>
                <w:sz w:val="20"/>
              </w:rPr>
              <w:t>
</w:t>
            </w:r>
            <w:r>
              <w:rPr>
                <w:rFonts w:ascii="Times New Roman"/>
                <w:b w:val="false"/>
                <w:i w:val="false"/>
                <w:color w:val="000000"/>
                <w:sz w:val="20"/>
              </w:rPr>
              <w:t>68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67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66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65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64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63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62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61 балл</w:t>
            </w:r>
          </w:p>
          <w:p>
            <w:pPr>
              <w:spacing w:after="20"/>
              <w:ind w:left="20"/>
              <w:jc w:val="both"/>
            </w:pPr>
            <w:r>
              <w:rPr>
                <w:rFonts w:ascii="Times New Roman"/>
                <w:b w:val="false"/>
                <w:i w:val="false"/>
                <w:color w:val="000000"/>
                <w:sz w:val="20"/>
              </w:rPr>
              <w:t>
60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37"/>
          <w:p>
            <w:pPr>
              <w:spacing w:after="20"/>
              <w:ind w:left="20"/>
              <w:jc w:val="both"/>
            </w:pPr>
            <w:r>
              <w:rPr>
                <w:rFonts w:ascii="Times New Roman"/>
                <w:b w:val="false"/>
                <w:i w:val="false"/>
                <w:color w:val="000000"/>
                <w:sz w:val="20"/>
              </w:rPr>
              <w:t>
4,1</w:t>
            </w:r>
          </w:p>
          <w:bookmarkEnd w:id="37"/>
          <w:p>
            <w:pPr>
              <w:spacing w:after="20"/>
              <w:ind w:left="20"/>
              <w:jc w:val="both"/>
            </w:pPr>
            <w:r>
              <w:rPr>
                <w:rFonts w:ascii="Times New Roman"/>
                <w:b w:val="false"/>
                <w:i w:val="false"/>
                <w:color w:val="000000"/>
                <w:sz w:val="20"/>
              </w:rPr>
              <w:t>
</w:t>
            </w:r>
            <w:r>
              <w:rPr>
                <w:rFonts w:ascii="Times New Roman"/>
                <w:b w:val="false"/>
                <w:i w:val="false"/>
                <w:color w:val="000000"/>
                <w:sz w:val="20"/>
              </w:rPr>
              <w:t>4,2</w:t>
            </w:r>
          </w:p>
          <w:p>
            <w:pPr>
              <w:spacing w:after="20"/>
              <w:ind w:left="20"/>
              <w:jc w:val="both"/>
            </w:pPr>
            <w:r>
              <w:rPr>
                <w:rFonts w:ascii="Times New Roman"/>
                <w:b w:val="false"/>
                <w:i w:val="false"/>
                <w:color w:val="000000"/>
                <w:sz w:val="20"/>
              </w:rPr>
              <w:t>
</w:t>
            </w:r>
            <w:r>
              <w:rPr>
                <w:rFonts w:ascii="Times New Roman"/>
                <w:b w:val="false"/>
                <w:i w:val="false"/>
                <w:color w:val="000000"/>
                <w:sz w:val="20"/>
              </w:rPr>
              <w:t>4,3</w:t>
            </w:r>
          </w:p>
          <w:p>
            <w:pPr>
              <w:spacing w:after="20"/>
              <w:ind w:left="20"/>
              <w:jc w:val="both"/>
            </w:pPr>
            <w:r>
              <w:rPr>
                <w:rFonts w:ascii="Times New Roman"/>
                <w:b w:val="false"/>
                <w:i w:val="false"/>
                <w:color w:val="000000"/>
                <w:sz w:val="20"/>
              </w:rPr>
              <w:t>
</w:t>
            </w:r>
            <w:r>
              <w:rPr>
                <w:rFonts w:ascii="Times New Roman"/>
                <w:b w:val="false"/>
                <w:i w:val="false"/>
                <w:color w:val="000000"/>
                <w:sz w:val="20"/>
              </w:rPr>
              <w:t>4,4</w:t>
            </w:r>
          </w:p>
          <w:p>
            <w:pPr>
              <w:spacing w:after="20"/>
              <w:ind w:left="20"/>
              <w:jc w:val="both"/>
            </w:pPr>
            <w:r>
              <w:rPr>
                <w:rFonts w:ascii="Times New Roman"/>
                <w:b w:val="false"/>
                <w:i w:val="false"/>
                <w:color w:val="000000"/>
                <w:sz w:val="20"/>
              </w:rPr>
              <w:t>
</w:t>
            </w:r>
            <w:r>
              <w:rPr>
                <w:rFonts w:ascii="Times New Roman"/>
                <w:b w:val="false"/>
                <w:i w:val="false"/>
                <w:color w:val="000000"/>
                <w:sz w:val="20"/>
              </w:rPr>
              <w:t>4,5</w:t>
            </w:r>
          </w:p>
          <w:p>
            <w:pPr>
              <w:spacing w:after="20"/>
              <w:ind w:left="20"/>
              <w:jc w:val="both"/>
            </w:pPr>
            <w:r>
              <w:rPr>
                <w:rFonts w:ascii="Times New Roman"/>
                <w:b w:val="false"/>
                <w:i w:val="false"/>
                <w:color w:val="000000"/>
                <w:sz w:val="20"/>
              </w:rPr>
              <w:t>
</w:t>
            </w:r>
            <w:r>
              <w:rPr>
                <w:rFonts w:ascii="Times New Roman"/>
                <w:b w:val="false"/>
                <w:i w:val="false"/>
                <w:color w:val="000000"/>
                <w:sz w:val="20"/>
              </w:rPr>
              <w:t>4,6</w:t>
            </w:r>
          </w:p>
          <w:p>
            <w:pPr>
              <w:spacing w:after="20"/>
              <w:ind w:left="20"/>
              <w:jc w:val="both"/>
            </w:pPr>
            <w:r>
              <w:rPr>
                <w:rFonts w:ascii="Times New Roman"/>
                <w:b w:val="false"/>
                <w:i w:val="false"/>
                <w:color w:val="000000"/>
                <w:sz w:val="20"/>
              </w:rPr>
              <w:t>
</w:t>
            </w:r>
            <w:r>
              <w:rPr>
                <w:rFonts w:ascii="Times New Roman"/>
                <w:b w:val="false"/>
                <w:i w:val="false"/>
                <w:color w:val="000000"/>
                <w:sz w:val="20"/>
              </w:rPr>
              <w:t>4,7</w:t>
            </w:r>
          </w:p>
          <w:p>
            <w:pPr>
              <w:spacing w:after="20"/>
              <w:ind w:left="20"/>
              <w:jc w:val="both"/>
            </w:pPr>
            <w:r>
              <w:rPr>
                <w:rFonts w:ascii="Times New Roman"/>
                <w:b w:val="false"/>
                <w:i w:val="false"/>
                <w:color w:val="000000"/>
                <w:sz w:val="20"/>
              </w:rPr>
              <w:t>
</w:t>
            </w:r>
            <w:r>
              <w:rPr>
                <w:rFonts w:ascii="Times New Roman"/>
                <w:b w:val="false"/>
                <w:i w:val="false"/>
                <w:color w:val="000000"/>
                <w:sz w:val="20"/>
              </w:rPr>
              <w:t>4,8</w:t>
            </w:r>
          </w:p>
          <w:p>
            <w:pPr>
              <w:spacing w:after="20"/>
              <w:ind w:left="20"/>
              <w:jc w:val="both"/>
            </w:pPr>
            <w:r>
              <w:rPr>
                <w:rFonts w:ascii="Times New Roman"/>
                <w:b w:val="false"/>
                <w:i w:val="false"/>
                <w:color w:val="000000"/>
                <w:sz w:val="20"/>
              </w:rPr>
              <w:t>
</w:t>
            </w:r>
            <w:r>
              <w:rPr>
                <w:rFonts w:ascii="Times New Roman"/>
                <w:b w:val="false"/>
                <w:i w:val="false"/>
                <w:color w:val="000000"/>
                <w:sz w:val="20"/>
              </w:rPr>
              <w:t>4,9</w:t>
            </w:r>
          </w:p>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38"/>
          <w:p>
            <w:pPr>
              <w:spacing w:after="20"/>
              <w:ind w:left="20"/>
              <w:jc w:val="both"/>
            </w:pPr>
            <w:r>
              <w:rPr>
                <w:rFonts w:ascii="Times New Roman"/>
                <w:b w:val="false"/>
                <w:i w:val="false"/>
                <w:color w:val="000000"/>
                <w:sz w:val="20"/>
              </w:rPr>
              <w:t>
59 балл</w:t>
            </w:r>
          </w:p>
          <w:bookmarkEnd w:id="38"/>
          <w:p>
            <w:pPr>
              <w:spacing w:after="20"/>
              <w:ind w:left="20"/>
              <w:jc w:val="both"/>
            </w:pPr>
            <w:r>
              <w:rPr>
                <w:rFonts w:ascii="Times New Roman"/>
                <w:b w:val="false"/>
                <w:i w:val="false"/>
                <w:color w:val="000000"/>
                <w:sz w:val="20"/>
              </w:rPr>
              <w:t>
</w:t>
            </w:r>
            <w:r>
              <w:rPr>
                <w:rFonts w:ascii="Times New Roman"/>
                <w:b w:val="false"/>
                <w:i w:val="false"/>
                <w:color w:val="000000"/>
                <w:sz w:val="20"/>
              </w:rPr>
              <w:t>58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57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56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55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54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53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52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51 балл</w:t>
            </w:r>
          </w:p>
          <w:p>
            <w:pPr>
              <w:spacing w:after="20"/>
              <w:ind w:left="20"/>
              <w:jc w:val="both"/>
            </w:pPr>
            <w:r>
              <w:rPr>
                <w:rFonts w:ascii="Times New Roman"/>
                <w:b w:val="false"/>
                <w:i w:val="false"/>
                <w:color w:val="000000"/>
                <w:sz w:val="20"/>
              </w:rPr>
              <w:t>
50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39"/>
          <w:p>
            <w:pPr>
              <w:spacing w:after="20"/>
              <w:ind w:left="20"/>
              <w:jc w:val="both"/>
            </w:pPr>
            <w:r>
              <w:rPr>
                <w:rFonts w:ascii="Times New Roman"/>
                <w:b w:val="false"/>
                <w:i w:val="false"/>
                <w:color w:val="000000"/>
                <w:sz w:val="20"/>
              </w:rPr>
              <w:t>
5,1</w:t>
            </w:r>
          </w:p>
          <w:bookmarkEnd w:id="39"/>
          <w:p>
            <w:pPr>
              <w:spacing w:after="20"/>
              <w:ind w:left="20"/>
              <w:jc w:val="both"/>
            </w:pPr>
            <w:r>
              <w:rPr>
                <w:rFonts w:ascii="Times New Roman"/>
                <w:b w:val="false"/>
                <w:i w:val="false"/>
                <w:color w:val="000000"/>
                <w:sz w:val="20"/>
              </w:rPr>
              <w:t>
</w:t>
            </w:r>
            <w:r>
              <w:rPr>
                <w:rFonts w:ascii="Times New Roman"/>
                <w:b w:val="false"/>
                <w:i w:val="false"/>
                <w:color w:val="000000"/>
                <w:sz w:val="20"/>
              </w:rPr>
              <w:t>5,2</w:t>
            </w:r>
          </w:p>
          <w:p>
            <w:pPr>
              <w:spacing w:after="20"/>
              <w:ind w:left="20"/>
              <w:jc w:val="both"/>
            </w:pPr>
            <w:r>
              <w:rPr>
                <w:rFonts w:ascii="Times New Roman"/>
                <w:b w:val="false"/>
                <w:i w:val="false"/>
                <w:color w:val="000000"/>
                <w:sz w:val="20"/>
              </w:rPr>
              <w:t>
</w:t>
            </w:r>
            <w:r>
              <w:rPr>
                <w:rFonts w:ascii="Times New Roman"/>
                <w:b w:val="false"/>
                <w:i w:val="false"/>
                <w:color w:val="000000"/>
                <w:sz w:val="20"/>
              </w:rPr>
              <w:t>5,3</w:t>
            </w:r>
          </w:p>
          <w:p>
            <w:pPr>
              <w:spacing w:after="20"/>
              <w:ind w:left="20"/>
              <w:jc w:val="both"/>
            </w:pPr>
            <w:r>
              <w:rPr>
                <w:rFonts w:ascii="Times New Roman"/>
                <w:b w:val="false"/>
                <w:i w:val="false"/>
                <w:color w:val="000000"/>
                <w:sz w:val="20"/>
              </w:rPr>
              <w:t>
</w:t>
            </w:r>
            <w:r>
              <w:rPr>
                <w:rFonts w:ascii="Times New Roman"/>
                <w:b w:val="false"/>
                <w:i w:val="false"/>
                <w:color w:val="000000"/>
                <w:sz w:val="20"/>
              </w:rPr>
              <w:t>5,4</w:t>
            </w:r>
          </w:p>
          <w:p>
            <w:pPr>
              <w:spacing w:after="20"/>
              <w:ind w:left="20"/>
              <w:jc w:val="both"/>
            </w:pPr>
            <w:r>
              <w:rPr>
                <w:rFonts w:ascii="Times New Roman"/>
                <w:b w:val="false"/>
                <w:i w:val="false"/>
                <w:color w:val="000000"/>
                <w:sz w:val="20"/>
              </w:rPr>
              <w:t>
</w:t>
            </w:r>
            <w:r>
              <w:rPr>
                <w:rFonts w:ascii="Times New Roman"/>
                <w:b w:val="false"/>
                <w:i w:val="false"/>
                <w:color w:val="000000"/>
                <w:sz w:val="20"/>
              </w:rPr>
              <w:t>5,5</w:t>
            </w:r>
          </w:p>
          <w:p>
            <w:pPr>
              <w:spacing w:after="20"/>
              <w:ind w:left="20"/>
              <w:jc w:val="both"/>
            </w:pPr>
            <w:r>
              <w:rPr>
                <w:rFonts w:ascii="Times New Roman"/>
                <w:b w:val="false"/>
                <w:i w:val="false"/>
                <w:color w:val="000000"/>
                <w:sz w:val="20"/>
              </w:rPr>
              <w:t>
</w:t>
            </w:r>
            <w:r>
              <w:rPr>
                <w:rFonts w:ascii="Times New Roman"/>
                <w:b w:val="false"/>
                <w:i w:val="false"/>
                <w:color w:val="000000"/>
                <w:sz w:val="20"/>
              </w:rPr>
              <w:t>5,6</w:t>
            </w:r>
          </w:p>
          <w:p>
            <w:pPr>
              <w:spacing w:after="20"/>
              <w:ind w:left="20"/>
              <w:jc w:val="both"/>
            </w:pPr>
            <w:r>
              <w:rPr>
                <w:rFonts w:ascii="Times New Roman"/>
                <w:b w:val="false"/>
                <w:i w:val="false"/>
                <w:color w:val="000000"/>
                <w:sz w:val="20"/>
              </w:rPr>
              <w:t>
</w:t>
            </w:r>
            <w:r>
              <w:rPr>
                <w:rFonts w:ascii="Times New Roman"/>
                <w:b w:val="false"/>
                <w:i w:val="false"/>
                <w:color w:val="000000"/>
                <w:sz w:val="20"/>
              </w:rPr>
              <w:t>5,7</w:t>
            </w:r>
          </w:p>
          <w:p>
            <w:pPr>
              <w:spacing w:after="20"/>
              <w:ind w:left="20"/>
              <w:jc w:val="both"/>
            </w:pPr>
            <w:r>
              <w:rPr>
                <w:rFonts w:ascii="Times New Roman"/>
                <w:b w:val="false"/>
                <w:i w:val="false"/>
                <w:color w:val="000000"/>
                <w:sz w:val="20"/>
              </w:rPr>
              <w:t>
</w:t>
            </w:r>
            <w:r>
              <w:rPr>
                <w:rFonts w:ascii="Times New Roman"/>
                <w:b w:val="false"/>
                <w:i w:val="false"/>
                <w:color w:val="000000"/>
                <w:sz w:val="20"/>
              </w:rPr>
              <w:t>5,8</w:t>
            </w:r>
          </w:p>
          <w:p>
            <w:pPr>
              <w:spacing w:after="20"/>
              <w:ind w:left="20"/>
              <w:jc w:val="both"/>
            </w:pPr>
            <w:r>
              <w:rPr>
                <w:rFonts w:ascii="Times New Roman"/>
                <w:b w:val="false"/>
                <w:i w:val="false"/>
                <w:color w:val="000000"/>
                <w:sz w:val="20"/>
              </w:rPr>
              <w:t>
</w:t>
            </w:r>
            <w:r>
              <w:rPr>
                <w:rFonts w:ascii="Times New Roman"/>
                <w:b w:val="false"/>
                <w:i w:val="false"/>
                <w:color w:val="000000"/>
                <w:sz w:val="20"/>
              </w:rPr>
              <w:t>5,9</w:t>
            </w:r>
          </w:p>
          <w:p>
            <w:pPr>
              <w:spacing w:after="20"/>
              <w:ind w:left="20"/>
              <w:jc w:val="both"/>
            </w:pPr>
            <w:r>
              <w:rPr>
                <w:rFonts w:ascii="Times New Roman"/>
                <w:b w:val="false"/>
                <w:i w:val="false"/>
                <w:color w:val="000000"/>
                <w:sz w:val="20"/>
              </w:rPr>
              <w:t>
6,0</w:t>
            </w:r>
          </w:p>
        </w:tc>
      </w:tr>
    </w:tbl>
    <w:bookmarkStart w:name="z136" w:id="40"/>
    <w:p>
      <w:pPr>
        <w:spacing w:after="0"/>
        <w:ind w:left="0"/>
        <w:jc w:val="both"/>
      </w:pPr>
      <w:r>
        <w:rPr>
          <w:rFonts w:ascii="Times New Roman"/>
          <w:b w:val="false"/>
          <w:i w:val="false"/>
          <w:color w:val="000000"/>
          <w:sz w:val="28"/>
        </w:rPr>
        <w:t>
      Құрылыс салушының рейтингі</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берушіге берілетін рейтинг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балл және одан жоғары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70 балл &lt;80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60 балл &lt;70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50 балл &lt;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r>
    </w:tbl>
    <w:bookmarkStart w:name="z137" w:id="41"/>
    <w:p>
      <w:pPr>
        <w:spacing w:after="0"/>
        <w:ind w:left="0"/>
        <w:jc w:val="both"/>
      </w:pPr>
      <w:r>
        <w:rPr>
          <w:rFonts w:ascii="Times New Roman"/>
          <w:b w:val="false"/>
          <w:i w:val="false"/>
          <w:color w:val="000000"/>
          <w:sz w:val="28"/>
        </w:rPr>
        <w:t>
      мұндағы:</w:t>
      </w:r>
    </w:p>
    <w:bookmarkEnd w:id="41"/>
    <w:bookmarkStart w:name="z138" w:id="42"/>
    <w:p>
      <w:pPr>
        <w:spacing w:after="0"/>
        <w:ind w:left="0"/>
        <w:jc w:val="both"/>
      </w:pPr>
      <w:r>
        <w:rPr>
          <w:rFonts w:ascii="Times New Roman"/>
          <w:b w:val="false"/>
          <w:i w:val="false"/>
          <w:color w:val="000000"/>
          <w:sz w:val="28"/>
        </w:rPr>
        <w:t>
      "А" рейтингі (ерекше кредитке қабілеттілігі, үздік қаржылық жағдайы) – құрылыс салушы жобаны мерзімінде орындаудың жоғарғы мүмкіндігіне және қаржылық тұрақтылықтың жоғарғы деңгейіне ие.</w:t>
      </w:r>
    </w:p>
    <w:bookmarkEnd w:id="42"/>
    <w:bookmarkStart w:name="z139" w:id="43"/>
    <w:p>
      <w:pPr>
        <w:spacing w:after="0"/>
        <w:ind w:left="0"/>
        <w:jc w:val="both"/>
      </w:pPr>
      <w:r>
        <w:rPr>
          <w:rFonts w:ascii="Times New Roman"/>
          <w:b w:val="false"/>
          <w:i w:val="false"/>
          <w:color w:val="000000"/>
          <w:sz w:val="28"/>
        </w:rPr>
        <w:t>
      "B" рейтингі (кредитке қабілеттілігі мен қаржылық тұрақтылықтың жақсы деңгейі)– құрылыс салушы жалпы алғанда қаржылай тұрақты және жобаны мерзімінде орындаудың оңтайлы мүмкіндігіне және қаржылық тұрақтылықтың жақсы деңгейіне ие.</w:t>
      </w:r>
    </w:p>
    <w:bookmarkEnd w:id="43"/>
    <w:bookmarkStart w:name="z140" w:id="44"/>
    <w:p>
      <w:pPr>
        <w:spacing w:after="0"/>
        <w:ind w:left="0"/>
        <w:jc w:val="both"/>
      </w:pPr>
      <w:r>
        <w:rPr>
          <w:rFonts w:ascii="Times New Roman"/>
          <w:b w:val="false"/>
          <w:i w:val="false"/>
          <w:color w:val="000000"/>
          <w:sz w:val="28"/>
        </w:rPr>
        <w:t>
      "С" рейтингі (кредитке қабілеттілігі мен қаржылық тұрақтылықтың орташа деңгейі)– құрылыс салушы жобаны мерзімінде орындаудың қанағаттандырарлық мүмкіндігіне ие. Жекелеген қаржылық көрсеткіштері орта салалық мәндерден кейбір ауытқуларды көрсетеді, алайда жалпы алғанда қаржылық жағдайы мен төлем қабілеттілігі қанағаттандырарлық болып табылады.</w:t>
      </w:r>
    </w:p>
    <w:bookmarkEnd w:id="44"/>
    <w:bookmarkStart w:name="z141" w:id="45"/>
    <w:p>
      <w:pPr>
        <w:spacing w:after="0"/>
        <w:ind w:left="0"/>
        <w:jc w:val="both"/>
      </w:pPr>
      <w:r>
        <w:rPr>
          <w:rFonts w:ascii="Times New Roman"/>
          <w:b w:val="false"/>
          <w:i w:val="false"/>
          <w:color w:val="000000"/>
          <w:sz w:val="28"/>
        </w:rPr>
        <w:t>
      "D" рейтингі (кредитке қабілеттілігі мен қаржылық тұрақтылықтың деңгейі орташадан төмен) – құрылыс салушының жобаны мерзімінде орындауының мүмкіндігі жеткілікті деп саналады. Қаржы жағдайының нашарлау белгілері бар (төменгі төлем қабілеттілігі/нарық үлесінің тұрақты төмендеуі) немесе қаржылық жағдайға теріс әсер етуі мүмкін форс-мажорлық жағдайлардың болуы. Бұл компанияның нарық сұранысының ауытқуларына жеткілікті дәрежеде тұрақты емес болу ықтималдығы болады.</w:t>
      </w:r>
    </w:p>
    <w:bookmarkEnd w:id="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w:t>
            </w:r>
            <w:r>
              <w:br/>
            </w:r>
            <w:r>
              <w:rPr>
                <w:rFonts w:ascii="Times New Roman"/>
                <w:b w:val="false"/>
                <w:i w:val="false"/>
                <w:color w:val="000000"/>
                <w:sz w:val="20"/>
              </w:rPr>
              <w:t>2026 жылғы 25 қыркүйектегі</w:t>
            </w:r>
            <w:r>
              <w:br/>
            </w:r>
            <w:r>
              <w:rPr>
                <w:rFonts w:ascii="Times New Roman"/>
                <w:b w:val="false"/>
                <w:i w:val="false"/>
                <w:color w:val="000000"/>
                <w:sz w:val="20"/>
              </w:rPr>
              <w:t>№ 478 Бұйрыққа</w:t>
            </w:r>
            <w:r>
              <w:br/>
            </w:r>
            <w:r>
              <w:rPr>
                <w:rFonts w:ascii="Times New Roman"/>
                <w:b w:val="false"/>
                <w:i w:val="false"/>
                <w:color w:val="000000"/>
                <w:sz w:val="20"/>
              </w:rPr>
              <w:t>2 қосымша</w:t>
            </w:r>
            <w:r>
              <w:br/>
            </w:r>
            <w:r>
              <w:rPr>
                <w:rFonts w:ascii="Times New Roman"/>
                <w:b w:val="false"/>
                <w:i w:val="false"/>
                <w:color w:val="000000"/>
                <w:sz w:val="20"/>
              </w:rPr>
              <w:t>Кепілдік беру туралы шарт</w:t>
            </w:r>
            <w:r>
              <w:br/>
            </w:r>
            <w:r>
              <w:rPr>
                <w:rFonts w:ascii="Times New Roman"/>
                <w:b w:val="false"/>
                <w:i w:val="false"/>
                <w:color w:val="000000"/>
                <w:sz w:val="20"/>
              </w:rPr>
              <w:t>немесе реновациялау</w:t>
            </w:r>
            <w:r>
              <w:br/>
            </w:r>
            <w:r>
              <w:rPr>
                <w:rFonts w:ascii="Times New Roman"/>
                <w:b w:val="false"/>
                <w:i w:val="false"/>
                <w:color w:val="000000"/>
                <w:sz w:val="20"/>
              </w:rPr>
              <w:t>шеңберінде шарттар жасасу</w:t>
            </w:r>
            <w:r>
              <w:br/>
            </w:r>
            <w:r>
              <w:rPr>
                <w:rFonts w:ascii="Times New Roman"/>
                <w:b w:val="false"/>
                <w:i w:val="false"/>
                <w:color w:val="000000"/>
                <w:sz w:val="20"/>
              </w:rPr>
              <w:t>үшін көппәтерлі тұрғын үй</w:t>
            </w:r>
            <w:r>
              <w:br/>
            </w:r>
            <w:r>
              <w:rPr>
                <w:rFonts w:ascii="Times New Roman"/>
                <w:b w:val="false"/>
                <w:i w:val="false"/>
                <w:color w:val="000000"/>
                <w:sz w:val="20"/>
              </w:rPr>
              <w:t>немесе жеке тұрғын үйлер</w:t>
            </w:r>
            <w:r>
              <w:br/>
            </w:r>
            <w:r>
              <w:rPr>
                <w:rFonts w:ascii="Times New Roman"/>
                <w:b w:val="false"/>
                <w:i w:val="false"/>
                <w:color w:val="000000"/>
                <w:sz w:val="20"/>
              </w:rPr>
              <w:t>кешені құрылысының</w:t>
            </w:r>
            <w:r>
              <w:br/>
            </w:r>
            <w:r>
              <w:rPr>
                <w:rFonts w:ascii="Times New Roman"/>
                <w:b w:val="false"/>
                <w:i w:val="false"/>
                <w:color w:val="000000"/>
                <w:sz w:val="20"/>
              </w:rPr>
              <w:t>жобасы бойынша құжаттарды</w:t>
            </w:r>
            <w:r>
              <w:br/>
            </w:r>
            <w:r>
              <w:rPr>
                <w:rFonts w:ascii="Times New Roman"/>
                <w:b w:val="false"/>
                <w:i w:val="false"/>
                <w:color w:val="000000"/>
                <w:sz w:val="20"/>
              </w:rPr>
              <w:t>қарау қағидаларына</w:t>
            </w:r>
            <w:r>
              <w:br/>
            </w:r>
            <w:r>
              <w:rPr>
                <w:rFonts w:ascii="Times New Roman"/>
                <w:b w:val="false"/>
                <w:i w:val="false"/>
                <w:color w:val="000000"/>
                <w:sz w:val="20"/>
              </w:rPr>
              <w:t>4-қосымша</w:t>
            </w:r>
          </w:p>
        </w:tc>
      </w:tr>
    </w:tbl>
    <w:bookmarkStart w:name="z143" w:id="46"/>
    <w:p>
      <w:pPr>
        <w:spacing w:after="0"/>
        <w:ind w:left="0"/>
        <w:jc w:val="left"/>
      </w:pPr>
      <w:r>
        <w:rPr>
          <w:rFonts w:ascii="Times New Roman"/>
          <w:b/>
          <w:i w:val="false"/>
          <w:color w:val="000000"/>
        </w:rPr>
        <w:t xml:space="preserve"> Тәуекел көрсеткіштері мен факторларының бағалауына негізделген көпфакторлы үлгі</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факторы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47"/>
          <w:p>
            <w:pPr>
              <w:spacing w:after="20"/>
              <w:ind w:left="20"/>
              <w:jc w:val="both"/>
            </w:pPr>
            <w:r>
              <w:rPr>
                <w:rFonts w:ascii="Times New Roman"/>
                <w:b w:val="false"/>
                <w:i w:val="false"/>
                <w:color w:val="000000"/>
                <w:sz w:val="20"/>
              </w:rPr>
              <w:t>
Қаржылық көрсеткіштер</w:t>
            </w:r>
          </w:p>
          <w:bookmarkEnd w:id="47"/>
          <w:p>
            <w:pPr>
              <w:spacing w:after="20"/>
              <w:ind w:left="20"/>
              <w:jc w:val="both"/>
            </w:pPr>
            <w:r>
              <w:rPr>
                <w:rFonts w:ascii="Times New Roman"/>
                <w:b w:val="false"/>
                <w:i w:val="false"/>
                <w:color w:val="000000"/>
                <w:sz w:val="20"/>
              </w:rPr>
              <w:t>
Бағалау диапазоны: 0-ден 40 балға дейін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Қызметтің рентабельділік коэффициенті (таза пайда/кіріс) материалдық, еңбек, ақшалай және басқа ресурстарды пайдалану тиімділігінің дәрежесін көрсетеді (0-ден 8,93 балға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Меншікті капиталдың рентабельділік коэффициенті (таза пайда/меншікті капитал) салынған меншікті капиталдың қаншалықты тиімді пайдаланылғанын көрсетеді (0-ден 6,65 балға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Ағымдағы өтімділік коэффициенті (қысқа мерзімді активтер/қысқа мерзімді міндеттемелер) қысқа мерзімді міндеттемелердің айналымдағы капиталмен жабылу деңгейін көрсетеді (0-ден 12,26 баллға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Автономия коэффициенті (жеке капитал + резервтер/активтер) ұйымның қаржылық жай-күйінің қарыз қаражаты көздерінен тәуелсіздігін анықтайды (0-ден 12,16 балға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Сапалық және жобалық көрсеткіштер Бағалау диапазоны: (-12)-дан 60 балға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салушы компанияның жұмыс тәжірибесі (оның ішінде ТОП-менеджмент): мәлімделген жоба бойынша құрылыс көлеміне қатысты соңғы 3 жылда пайдалануға берілген тұрғын үй алаңының көлемі (шаршы метр) (0-ден 10 балға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мәлімделген жобаның (лар) ауқымына арақатынаста аяқталған тұрғын үй жобалары бойынша құрылыс салушының тәжірибесін бағалайды. Ең жоғары балл пайдалануға берілген тұрғын үй алаңы мәлімделген жоба (лар) көлемі кемінде 50% болған кезде, құрылыстың нақты мерзімінің нормативтіктен ауытқуы 2025 жылғы тамызға дейін енгізілген жобалар бойынша 9 айдан және 2025 жылғы тамыздан кейін енгізілген жобалар бойынша 5 айдан аспаған жағдайда беріледі.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Құрылыстың аяқталуына берілген кепілдіктер саны Бағалау диапазоны: 0-ден 10 балға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бұрын Бірыңғай оператордың кепілдігін алған пайдалануға берілген объектілердің санын бағалайды. Баллдар 1 объектіден болған кезде; ең жоғары балл - 5 және одан көп объектілер болған кезде 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Ұзартулар саны (0-ден 3 балға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2 жылда Бірыңғай оператордың кепілдігін алған объектілер бойынша мерзімдерді ұзартудың болуы/ болмауы. Ең жоғары балл ұзарту болмаған кезде 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беру туралы шарттар бойынша міндеттемелерді орындамау/тиісінше орындамау ((-5)-тен 0 баллға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беру туралы шарттар бойынша міндеттемелерді орындамау (Соңғы 2 жылда Құрылыс салушымен және/немесе Уәкілетті компаниямен жасалған Бірыңғай операторға кепілдік беру туралы шарттар бойынша міндеттемелерді тиісінше орындамау туралы хабарламалардың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Өзінің қатысуы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құрылыс салушының немесе компаниялар тобының активтері құнының мәлімделген жобаның құнына және ағымдағы жобалар бойынша аяқталу қалдығына арақатынасын бағалайды. Баллдар активтермен жабу кезінде 25% -дан бастап; ең жоғары балл - 100% және одан жоғары жабу кезінде беріледі. Бағалау диапазоны: 0-ден 10 баллға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құрылыс жобасында уәкілетті компанияның меншікті қатысу үлесін ақшалай қаражат және/немесе аяқталмаған құрылыс түрінде бағалайды. Ең жоғары балл өз қатысуымен 30% -дан артық беріледі. Бағалау диапазоны: 3-тен 10 баллға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тәртібі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3 жылдағы кредиттік тарих (өткен 90 күннен астам төлемдер бойынша мерзімі ) төлем тәртібін және қаржылық тұрақтылықты сипаттайды. Бағалау ауқымы: (-5) баллдан 0 баллға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Бағаның коммерциялық тартымдылығы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ағымдағы/аяқталған жобалар бойынша нарықтық жағдайларды және сату тәжірибесін ескере отырып, құрылыс жобасы бойынша іске асыру бағасының коммерциялық тартымдылығын және барабарлығын бағалайды. Ең жоғары балл нарықтан кемінде 10% төмен өткізу бағасы кезінде не пайдалануға берілгенге дейін кемінде 70% көлемінде өткізу тәжірибесі болған кезде беріледі. Бағалау ауқымы: 0-ден 8 балға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рентабельділігінің сезімталдығы ((-5)-тен 5 балға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жобаның құрылыс құнының өсуіне тұрақтылығын бағалайды. Жоба пайдасыздыққа көшкен кезде 10% -ға дейін қымбаттаған кезде 5 балл; ең жоғары балл - егер 20% -ға дейін қымбаттау жобаның пайдасыздығына алып келмесе қойылады.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құнының дұрыстығы ((-5)-тен 7 баллға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Құрылыстың мәлімделген құнының ағымдағы нарықтық жағдайларға және шығындардың нақты деңгейіне сәйкестік дәрежесін көрсетеді. Ең жоғары балл өтінім берілген күнге дейін 12 айдан аспайтын уақыт өткен ЖСҚ (сараптаманың оң қорытындысымен) болған кезде беріледі.</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