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dce4" w14:textId="a58d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тамыздағы № 117 қаулысы. Қазақстан Республикасының Әділет министрлігінде 2026 жылғы 7 тамызда № 39525 болып тіркелді</w:t>
      </w:r>
    </w:p>
    <w:p>
      <w:pPr>
        <w:spacing w:after="0"/>
        <w:ind w:left="0"/>
        <w:jc w:val="both"/>
      </w:pPr>
      <w:bookmarkStart w:name="z7"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Әмбебап банк лицензиясы бар банкі, базалық банк лицензиясы бар банкі сақтауға міндетті пруденциялық нормативтер мен лимиттерде, олардың шекті мәндерінде және есеп айырысу </w:t>
      </w:r>
      <w:r>
        <w:rPr>
          <w:rFonts w:ascii="Times New Roman"/>
          <w:b w:val="false"/>
          <w:i w:val="false"/>
          <w:color w:val="000000"/>
          <w:sz w:val="28"/>
        </w:rPr>
        <w:t>әдістемелерінде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11" w:id="3"/>
    <w:p>
      <w:pPr>
        <w:spacing w:after="0"/>
        <w:ind w:left="0"/>
        <w:jc w:val="both"/>
      </w:pPr>
      <w:r>
        <w:rPr>
          <w:rFonts w:ascii="Times New Roman"/>
          <w:b w:val="false"/>
          <w:i w:val="false"/>
          <w:color w:val="000000"/>
          <w:sz w:val="28"/>
        </w:rPr>
        <w:t>
      "Әмбебап банк лицензиясы бар банктер сақтауға міндетті пруденциялық нормативтер мен лимиттер құрамына мыналар кіреді:</w:t>
      </w:r>
    </w:p>
    <w:bookmarkEnd w:id="3"/>
    <w:bookmarkStart w:name="z12" w:id="4"/>
    <w:p>
      <w:pPr>
        <w:spacing w:after="0"/>
        <w:ind w:left="0"/>
        <w:jc w:val="both"/>
      </w:pPr>
      <w:r>
        <w:rPr>
          <w:rFonts w:ascii="Times New Roman"/>
          <w:b w:val="false"/>
          <w:i w:val="false"/>
          <w:color w:val="000000"/>
          <w:sz w:val="28"/>
        </w:rPr>
        <w:t>
      банктің жарғылық және меншікті капиталдарының ең төмен мөлшері;</w:t>
      </w:r>
    </w:p>
    <w:bookmarkEnd w:id="4"/>
    <w:bookmarkStart w:name="z13" w:id="5"/>
    <w:p>
      <w:pPr>
        <w:spacing w:after="0"/>
        <w:ind w:left="0"/>
        <w:jc w:val="both"/>
      </w:pPr>
      <w:r>
        <w:rPr>
          <w:rFonts w:ascii="Times New Roman"/>
          <w:b w:val="false"/>
          <w:i w:val="false"/>
          <w:color w:val="000000"/>
          <w:sz w:val="28"/>
        </w:rPr>
        <w:t>
      меншікті капиталдың жеткіліктілік коэффициенті;</w:t>
      </w:r>
    </w:p>
    <w:bookmarkEnd w:id="5"/>
    <w:bookmarkStart w:name="z14" w:id="6"/>
    <w:p>
      <w:pPr>
        <w:spacing w:after="0"/>
        <w:ind w:left="0"/>
        <w:jc w:val="both"/>
      </w:pPr>
      <w:r>
        <w:rPr>
          <w:rFonts w:ascii="Times New Roman"/>
          <w:b w:val="false"/>
          <w:i w:val="false"/>
          <w:color w:val="000000"/>
          <w:sz w:val="28"/>
        </w:rPr>
        <w:t>
      тәуекелдің бір қарыз алушыға шаққандағы ең жоғары мөлшері;</w:t>
      </w:r>
    </w:p>
    <w:bookmarkEnd w:id="6"/>
    <w:bookmarkStart w:name="z15" w:id="7"/>
    <w:p>
      <w:pPr>
        <w:spacing w:after="0"/>
        <w:ind w:left="0"/>
        <w:jc w:val="both"/>
      </w:pPr>
      <w:r>
        <w:rPr>
          <w:rFonts w:ascii="Times New Roman"/>
          <w:b w:val="false"/>
          <w:i w:val="false"/>
          <w:color w:val="000000"/>
          <w:sz w:val="28"/>
        </w:rPr>
        <w:t>
      өтімділік коэффициенттері;</w:t>
      </w:r>
    </w:p>
    <w:bookmarkEnd w:id="7"/>
    <w:bookmarkStart w:name="z16" w:id="8"/>
    <w:p>
      <w:pPr>
        <w:spacing w:after="0"/>
        <w:ind w:left="0"/>
        <w:jc w:val="both"/>
      </w:pPr>
      <w:r>
        <w:rPr>
          <w:rFonts w:ascii="Times New Roman"/>
          <w:b w:val="false"/>
          <w:i w:val="false"/>
          <w:color w:val="000000"/>
          <w:sz w:val="28"/>
        </w:rPr>
        <w:t>
      өтімділікті өтеу және нетто тұрақты қорландыру коэффициенттері;</w:t>
      </w:r>
    </w:p>
    <w:bookmarkEnd w:id="8"/>
    <w:bookmarkStart w:name="z17" w:id="9"/>
    <w:p>
      <w:pPr>
        <w:spacing w:after="0"/>
        <w:ind w:left="0"/>
        <w:jc w:val="both"/>
      </w:pPr>
      <w:r>
        <w:rPr>
          <w:rFonts w:ascii="Times New Roman"/>
          <w:b w:val="false"/>
          <w:i w:val="false"/>
          <w:color w:val="000000"/>
          <w:sz w:val="28"/>
        </w:rPr>
        <w:t>
      банктерді Қазақстан Республикасының бейрезиденттері алдындағы міндеттемелерге капиталдандыру;</w:t>
      </w:r>
    </w:p>
    <w:bookmarkEnd w:id="9"/>
    <w:bookmarkStart w:name="z18" w:id="10"/>
    <w:p>
      <w:pPr>
        <w:spacing w:after="0"/>
        <w:ind w:left="0"/>
        <w:jc w:val="both"/>
      </w:pPr>
      <w:r>
        <w:rPr>
          <w:rFonts w:ascii="Times New Roman"/>
          <w:b w:val="false"/>
          <w:i w:val="false"/>
          <w:color w:val="000000"/>
          <w:sz w:val="28"/>
        </w:rPr>
        <w:t>
      банк қаражатының бір бөлігін ішкі активтерге орналастыру коэффициенті;</w:t>
      </w:r>
    </w:p>
    <w:bookmarkEnd w:id="10"/>
    <w:bookmarkStart w:name="z19" w:id="11"/>
    <w:p>
      <w:pPr>
        <w:spacing w:after="0"/>
        <w:ind w:left="0"/>
        <w:jc w:val="both"/>
      </w:pPr>
      <w:r>
        <w:rPr>
          <w:rFonts w:ascii="Times New Roman"/>
          <w:b w:val="false"/>
          <w:i w:val="false"/>
          <w:color w:val="000000"/>
          <w:sz w:val="28"/>
        </w:rPr>
        <w:t>
      леверидж коэффициенті;</w:t>
      </w:r>
    </w:p>
    <w:bookmarkEnd w:id="11"/>
    <w:bookmarkStart w:name="z20" w:id="12"/>
    <w:p>
      <w:pPr>
        <w:spacing w:after="0"/>
        <w:ind w:left="0"/>
        <w:jc w:val="both"/>
      </w:pPr>
      <w:r>
        <w:rPr>
          <w:rFonts w:ascii="Times New Roman"/>
          <w:b w:val="false"/>
          <w:i w:val="false"/>
          <w:color w:val="000000"/>
          <w:sz w:val="28"/>
        </w:rPr>
        <w:t>
      исламдық банк операцияларын жүзеге асыруға бөлінген активтердің ең төмен мөлшері;</w:t>
      </w:r>
    </w:p>
    <w:bookmarkEnd w:id="12"/>
    <w:bookmarkStart w:name="z21" w:id="13"/>
    <w:p>
      <w:pPr>
        <w:spacing w:after="0"/>
        <w:ind w:left="0"/>
        <w:jc w:val="both"/>
      </w:pPr>
      <w:r>
        <w:rPr>
          <w:rFonts w:ascii="Times New Roman"/>
          <w:b w:val="false"/>
          <w:i w:val="false"/>
          <w:color w:val="000000"/>
          <w:sz w:val="28"/>
        </w:rPr>
        <w:t>
      ашық валюталық позиция лимиттері;</w:t>
      </w:r>
    </w:p>
    <w:bookmarkEnd w:id="13"/>
    <w:bookmarkStart w:name="z22" w:id="14"/>
    <w:p>
      <w:pPr>
        <w:spacing w:after="0"/>
        <w:ind w:left="0"/>
        <w:jc w:val="both"/>
      </w:pPr>
      <w:r>
        <w:rPr>
          <w:rFonts w:ascii="Times New Roman"/>
          <w:b w:val="false"/>
          <w:i w:val="false"/>
          <w:color w:val="000000"/>
          <w:sz w:val="28"/>
        </w:rPr>
        <w:t>
      залалдарды қамтудың (жабудың) жалпы қабілетін қамтамасыз ететін құралдар бойынша міндеттемелердің ең төмен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"5. Банктерге арналған нормативтерде мынадай ұғымдар пайдаланылады:</w:t>
      </w:r>
    </w:p>
    <w:bookmarkEnd w:id="15"/>
    <w:bookmarkStart w:name="z25" w:id="16"/>
    <w:p>
      <w:pPr>
        <w:spacing w:after="0"/>
        <w:ind w:left="0"/>
        <w:jc w:val="both"/>
      </w:pPr>
      <w:r>
        <w:rPr>
          <w:rFonts w:ascii="Times New Roman"/>
          <w:b w:val="false"/>
          <w:i w:val="false"/>
          <w:color w:val="000000"/>
          <w:sz w:val="28"/>
        </w:rPr>
        <w:t>
      1) баланстық құн – бухгалтерлік баланста қарыз бойынша қалыптастырылған провизиялар (резервтер) шегерілгеннен кейін танылатын қарыз сомасы;</w:t>
      </w:r>
    </w:p>
    <w:bookmarkEnd w:id="16"/>
    <w:bookmarkStart w:name="z26" w:id="17"/>
    <w:p>
      <w:pPr>
        <w:spacing w:after="0"/>
        <w:ind w:left="0"/>
        <w:jc w:val="both"/>
      </w:pPr>
      <w:r>
        <w:rPr>
          <w:rFonts w:ascii="Times New Roman"/>
          <w:b w:val="false"/>
          <w:i w:val="false"/>
          <w:color w:val="000000"/>
          <w:sz w:val="28"/>
        </w:rPr>
        <w:t>
      2) залалдарды қамтудың (жабудың) жалпы қабілетін қамтамасыз ету (TLAC (Total Loss-Absorbing Capacity)) (ТЛАК (Тотал Лосс-Абсорбинг Кэпасити)) – залалдарды қамтудың (жабудың) жалпы қабілетін қамтамасыз ететін құралдар бойынша міндеттемелердің ең төмен мөлшері;</w:t>
      </w:r>
    </w:p>
    <w:bookmarkEnd w:id="17"/>
    <w:bookmarkStart w:name="z27" w:id="18"/>
    <w:p>
      <w:pPr>
        <w:spacing w:after="0"/>
        <w:ind w:left="0"/>
        <w:jc w:val="both"/>
      </w:pPr>
      <w:r>
        <w:rPr>
          <w:rFonts w:ascii="Times New Roman"/>
          <w:b w:val="false"/>
          <w:i w:val="false"/>
          <w:color w:val="000000"/>
          <w:sz w:val="28"/>
        </w:rPr>
        <w:t>
      3) инвестициялық қарыз (кредит) – мынадай талаптарға сәйкес келетін қарыз (кредит):</w:t>
      </w:r>
    </w:p>
    <w:bookmarkEnd w:id="18"/>
    <w:bookmarkStart w:name="z28" w:id="19"/>
    <w:p>
      <w:pPr>
        <w:spacing w:after="0"/>
        <w:ind w:left="0"/>
        <w:jc w:val="both"/>
      </w:pPr>
      <w:r>
        <w:rPr>
          <w:rFonts w:ascii="Times New Roman"/>
          <w:b w:val="false"/>
          <w:i w:val="false"/>
          <w:color w:val="000000"/>
          <w:sz w:val="28"/>
        </w:rPr>
        <w:t>
      қарыз (кредит) мерзімі 3 (үш) және одан көп жылды құрайды;</w:t>
      </w:r>
    </w:p>
    <w:bookmarkEnd w:id="19"/>
    <w:bookmarkStart w:name="z29" w:id="20"/>
    <w:p>
      <w:pPr>
        <w:spacing w:after="0"/>
        <w:ind w:left="0"/>
        <w:jc w:val="both"/>
      </w:pPr>
      <w:r>
        <w:rPr>
          <w:rFonts w:ascii="Times New Roman"/>
          <w:b w:val="false"/>
          <w:i w:val="false"/>
          <w:color w:val="000000"/>
          <w:sz w:val="28"/>
        </w:rPr>
        <w:t>
      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мерзімдерде және тәртіппен жүзеге асырылады;</w:t>
      </w:r>
    </w:p>
    <w:bookmarkEnd w:id="20"/>
    <w:bookmarkStart w:name="z30" w:id="21"/>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bookmarkEnd w:id="21"/>
    <w:bookmarkStart w:name="z31" w:id="22"/>
    <w:p>
      <w:pPr>
        <w:spacing w:after="0"/>
        <w:ind w:left="0"/>
        <w:jc w:val="both"/>
      </w:pPr>
      <w:r>
        <w:rPr>
          <w:rFonts w:ascii="Times New Roman"/>
          <w:b w:val="false"/>
          <w:i w:val="false"/>
          <w:color w:val="000000"/>
          <w:sz w:val="28"/>
        </w:rPr>
        <w:t>
      4) кепілдің тұрақсыз түрлері – болашақта түсетін мүлік және ақша (шарттары Банктерге арналған нормативтердің 6-тармағында көзделген банктік қарыз шарты бойынша кепіл болып табылатын, Қазақстан Республикасының заңнамасына сәйкес жасасқан мемлекеттік-жекешелік әріптестік келісімшарты бойынша инвестициялық шығындардың өтемақысын есепке жатқызуға арналған шотқа аударылатын ақша түсімі бойынша мемлекеттік серіктестікке қойылатын талап ету құқықтарын, сондай-ақ Банктерге арналған нормативтердің 7-тармағында көзделген шарттарға сәйкес келген кезде банктік қарыз шарты бойынша кепіл болып табылатын офтейк-келісімшарт, оның ішінде үлестік қатысу шарттары бойынша (мемлекет қатысатын компаниялармен (квазимемлекеттік сектор субъектілерімен жасалған шарттар бойынша келіп түсетін ақшаны қоспағанда), сақтандыру шарттары (Standard &amp; Poor's (Стандард энд Пурс) рейтингтік агенттігінің "ВВ+" төмен емес рейтингі немесе Moody's Investors Service (Мудис Инвесторс Сервис), Fitch (Фич) рейтингтік агенттіктерінің ұқсас деңгейдегі рейтингтері бар Қазақстан Республикасының резидент сақтандыру ұйымдарымен, Standard &amp; Poor's (Стандард энд Пурс) рейтингтік агенттігінің кемінде "А"-дан төмен емес рейтингі немесе Moody’s Investors Service (Мудис Инвесторс Сервис), Fitch (Фич) рейтингтік агенттіктердің ұқсас деңгейдегі рейтингтері бар Қазақстан Республикасының бейрезидент сақтандыру ұйымдарымен жасалған экспортты қолдауға мемлекеттік кепілдік берілген Қазақстанның Экспорттық несие агенттігімен жасалған, міндеттемелерді шартсыз және кері қайтарусыз орындау туралы тармақтары бар сақтандыру шарттарын, талаптары Банктерге арналған нормативтердің 6-тармағында көзделген сақтандыру шарттарын қоспағанда) бойынша болашақта түсетін ақшаны қоспағанда), жеке немесе заңды тұлғалардың кепілдіктері (Standard &amp; Poor's (Стандард энд Пурс) рейтингтік агенттігінің "ВВ+"-тен төмен емес кредиттік рейтингі немесе Moody's Investors Service (Мудис Инвесторс Сервис), Fitch (Фич) рейтингтік агенттіктерінің ұқсас деңгейдегі рейтингі бар заңды тұлғалардың кепілдіктерін, Standard &amp; Poor's (Стандард энд Пурс) рейтингтік агенттігінің "В-"-тен төмен емес кредиттік рейтингі немесе Moody's Investors Service (Мудис Инвесторс Сервис), Fitch (Фич) рейтингтік агенттіктерінің ұқсас деңгейдегі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(ЕБИТДА)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(Банктерге арналған нормативтердің 8-тармағында көзделген талаптарға сәйкес келетін астық қолхаттары бойынша талап ету құқықтарын қоспағанда),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етуді қоспағанда);</w:t>
      </w:r>
    </w:p>
    <w:bookmarkEnd w:id="22"/>
    <w:bookmarkStart w:name="z32" w:id="23"/>
    <w:p>
      <w:pPr>
        <w:spacing w:after="0"/>
        <w:ind w:left="0"/>
        <w:jc w:val="both"/>
      </w:pPr>
      <w:r>
        <w:rPr>
          <w:rFonts w:ascii="Times New Roman"/>
          <w:b w:val="false"/>
          <w:i w:val="false"/>
          <w:color w:val="000000"/>
          <w:sz w:val="28"/>
        </w:rPr>
        <w:t>
      5) кепілсіз тұтынушылық қарыз – мыналарды:</w:t>
      </w:r>
    </w:p>
    <w:bookmarkEnd w:id="23"/>
    <w:bookmarkStart w:name="z33" w:id="24"/>
    <w:p>
      <w:pPr>
        <w:spacing w:after="0"/>
        <w:ind w:left="0"/>
        <w:jc w:val="both"/>
      </w:pPr>
      <w:r>
        <w:rPr>
          <w:rFonts w:ascii="Times New Roman"/>
          <w:b w:val="false"/>
          <w:i w:val="false"/>
          <w:color w:val="000000"/>
          <w:sz w:val="28"/>
        </w:rPr>
        <w:t>
      берілетін қарыз сомасын толығымен өтейтін жылжымайтын мүлікке құқықтар кепілімен, міндетті мемлекеттік тіркелуге тиіс жылжымалы мүлік кепілімен қамтамасыз етілген қарыздарды;</w:t>
      </w:r>
    </w:p>
    <w:bookmarkEnd w:id="24"/>
    <w:bookmarkStart w:name="z34" w:id="25"/>
    <w:p>
      <w:pPr>
        <w:spacing w:after="0"/>
        <w:ind w:left="0"/>
        <w:jc w:val="both"/>
      </w:pPr>
      <w:r>
        <w:rPr>
          <w:rFonts w:ascii="Times New Roman"/>
          <w:b w:val="false"/>
          <w:i w:val="false"/>
          <w:color w:val="000000"/>
          <w:sz w:val="28"/>
        </w:rPr>
        <w:t>
      тіркелуге тиіс, берілетін қарыз сомасын толығымен өтейтін эмиссиялық бағалы қағаздар бойынша құқықтар кепілімен қамтамасыз етілген қарыздарды;</w:t>
      </w:r>
    </w:p>
    <w:bookmarkEnd w:id="25"/>
    <w:bookmarkStart w:name="z35" w:id="26"/>
    <w:p>
      <w:pPr>
        <w:spacing w:after="0"/>
        <w:ind w:left="0"/>
        <w:jc w:val="both"/>
      </w:pPr>
      <w:r>
        <w:rPr>
          <w:rFonts w:ascii="Times New Roman"/>
          <w:b w:val="false"/>
          <w:i w:val="false"/>
          <w:color w:val="000000"/>
          <w:sz w:val="28"/>
        </w:rPr>
        <w:t>
      берілетін қарыз сомасын толығымен өтейтін тұрғын үй құрылысына үлестік қатысу шарттары бойынша талап ету құқықтары кепілімен қамтамасыз етілген қарыздарды;</w:t>
      </w:r>
    </w:p>
    <w:bookmarkEnd w:id="26"/>
    <w:bookmarkStart w:name="z36" w:id="27"/>
    <w:p>
      <w:pPr>
        <w:spacing w:after="0"/>
        <w:ind w:left="0"/>
        <w:jc w:val="both"/>
      </w:pPr>
      <w:r>
        <w:rPr>
          <w:rFonts w:ascii="Times New Roman"/>
          <w:b w:val="false"/>
          <w:i w:val="false"/>
          <w:color w:val="000000"/>
          <w:sz w:val="28"/>
        </w:rPr>
        <w:t>
      берілетін қарыз сомасын толығымен өтейтін ақша қамтамасыз ету болатын қарыздарды;</w:t>
      </w:r>
    </w:p>
    <w:bookmarkEnd w:id="27"/>
    <w:bookmarkStart w:name="z37" w:id="28"/>
    <w:p>
      <w:pPr>
        <w:spacing w:after="0"/>
        <w:ind w:left="0"/>
        <w:jc w:val="both"/>
      </w:pPr>
      <w:r>
        <w:rPr>
          <w:rFonts w:ascii="Times New Roman"/>
          <w:b w:val="false"/>
          <w:i w:val="false"/>
          <w:color w:val="000000"/>
          <w:sz w:val="28"/>
        </w:rPr>
        <w:t>
      білім беруді кредиттеу жүйесі шеңберінде берілетін қарыздарды;</w:t>
      </w:r>
    </w:p>
    <w:bookmarkEnd w:id="28"/>
    <w:bookmarkStart w:name="z38" w:id="29"/>
    <w:p>
      <w:pPr>
        <w:spacing w:after="0"/>
        <w:ind w:left="0"/>
        <w:jc w:val="both"/>
      </w:pPr>
      <w:r>
        <w:rPr>
          <w:rFonts w:ascii="Times New Roman"/>
          <w:b w:val="false"/>
          <w:i w:val="false"/>
          <w:color w:val="000000"/>
          <w:sz w:val="28"/>
        </w:rPr>
        <w:t>
      тұрғын үй құрылысы жинақ ақшасы жүйесінің шеңберінде берілетін қарыздарды қоспағанда, тұтынушылық банктік қарыз;</w:t>
      </w:r>
    </w:p>
    <w:bookmarkEnd w:id="29"/>
    <w:bookmarkStart w:name="z39" w:id="30"/>
    <w:p>
      <w:pPr>
        <w:spacing w:after="0"/>
        <w:ind w:left="0"/>
        <w:jc w:val="both"/>
      </w:pPr>
      <w:r>
        <w:rPr>
          <w:rFonts w:ascii="Times New Roman"/>
          <w:b w:val="false"/>
          <w:i w:val="false"/>
          <w:color w:val="000000"/>
          <w:sz w:val="28"/>
        </w:rPr>
        <w:t>
      6) 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p>
    <w:bookmarkEnd w:id="30"/>
    <w:bookmarkStart w:name="z40" w:id="31"/>
    <w:p>
      <w:pPr>
        <w:spacing w:after="0"/>
        <w:ind w:left="0"/>
        <w:jc w:val="both"/>
      </w:pPr>
      <w:r>
        <w:rPr>
          <w:rFonts w:ascii="Times New Roman"/>
          <w:b w:val="false"/>
          <w:i w:val="false"/>
          <w:color w:val="000000"/>
          <w:sz w:val="28"/>
        </w:rPr>
        <w:t>
      7) қарыз алушы – қарыз (кредит) шартын жасасқан жеке немесе заңды тұлға;</w:t>
      </w:r>
    </w:p>
    <w:bookmarkEnd w:id="31"/>
    <w:bookmarkStart w:name="z41" w:id="32"/>
    <w:p>
      <w:pPr>
        <w:spacing w:after="0"/>
        <w:ind w:left="0"/>
        <w:jc w:val="both"/>
      </w:pPr>
      <w:r>
        <w:rPr>
          <w:rFonts w:ascii="Times New Roman"/>
          <w:b w:val="false"/>
          <w:i w:val="false"/>
          <w:color w:val="000000"/>
          <w:sz w:val="28"/>
        </w:rPr>
        <w:t>
      8) қоса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p>
    <w:bookmarkEnd w:id="32"/>
    <w:bookmarkStart w:name="z42" w:id="33"/>
    <w:p>
      <w:pPr>
        <w:spacing w:after="0"/>
        <w:ind w:left="0"/>
        <w:jc w:val="both"/>
      </w:pPr>
      <w:r>
        <w:rPr>
          <w:rFonts w:ascii="Times New Roman"/>
          <w:b w:val="false"/>
          <w:i w:val="false"/>
          <w:color w:val="000000"/>
          <w:sz w:val="28"/>
        </w:rPr>
        <w:t>
      9) офтейк-келісімшарт – өндіруші (өнім беруші) мен тапсырыс берушінің арасындағы жеткізудің құны, саны (көлемі) және мерзімдері бойынша алдын ала келісілген талаптармен болашақта жеткізілетін тауарларды және (немесе) көрсетілетін қызметтерді сату туралы келісім;</w:t>
      </w:r>
    </w:p>
    <w:bookmarkEnd w:id="33"/>
    <w:bookmarkStart w:name="z43" w:id="34"/>
    <w:p>
      <w:pPr>
        <w:spacing w:after="0"/>
        <w:ind w:left="0"/>
        <w:jc w:val="both"/>
      </w:pPr>
      <w:r>
        <w:rPr>
          <w:rFonts w:ascii="Times New Roman"/>
          <w:b w:val="false"/>
          <w:i w:val="false"/>
          <w:color w:val="000000"/>
          <w:sz w:val="28"/>
        </w:rPr>
        <w:t>
      10) провизиялар (резервтер) – қарыздың құнсыздануына құрылған резервтер;</w:t>
      </w:r>
    </w:p>
    <w:bookmarkEnd w:id="34"/>
    <w:bookmarkStart w:name="z44" w:id="35"/>
    <w:p>
      <w:pPr>
        <w:spacing w:after="0"/>
        <w:ind w:left="0"/>
        <w:jc w:val="both"/>
      </w:pPr>
      <w:r>
        <w:rPr>
          <w:rFonts w:ascii="Times New Roman"/>
          <w:b w:val="false"/>
          <w:i w:val="false"/>
          <w:color w:val="000000"/>
          <w:sz w:val="28"/>
        </w:rPr>
        <w:t>
      11) стейблкоин – базалық активі ақша болып табылатын, Қазақстан Республикасының Ұлттық Банкі айқындайтын тәртіппен және шарттарда шығарылатын, орналастырылатын, айналысқа енгізілетін және өтелетін цифрлық қаржы активі;</w:t>
      </w:r>
    </w:p>
    <w:bookmarkEnd w:id="35"/>
    <w:bookmarkStart w:name="z45" w:id="36"/>
    <w:p>
      <w:pPr>
        <w:spacing w:after="0"/>
        <w:ind w:left="0"/>
        <w:jc w:val="both"/>
      </w:pPr>
      <w:r>
        <w:rPr>
          <w:rFonts w:ascii="Times New Roman"/>
          <w:b w:val="false"/>
          <w:i w:val="false"/>
          <w:color w:val="000000"/>
          <w:sz w:val="28"/>
        </w:rPr>
        <w:t>
      12) тұрақты Asset Quality Review (Активтер сапасына шолу) (бұдан әрі – AQR) – тәуекелге бағдарланған қадағалау шеңберінде жүзеге асырылатын банктер активтерінің және шартты (ықтимал) міндеттемелерінің сапасын жыл сайын бағалау;</w:t>
      </w:r>
    </w:p>
    <w:bookmarkEnd w:id="36"/>
    <w:bookmarkStart w:name="z46" w:id="37"/>
    <w:p>
      <w:pPr>
        <w:spacing w:after="0"/>
        <w:ind w:left="0"/>
        <w:jc w:val="both"/>
      </w:pPr>
      <w:r>
        <w:rPr>
          <w:rFonts w:ascii="Times New Roman"/>
          <w:b w:val="false"/>
          <w:i w:val="false"/>
          <w:color w:val="000000"/>
          <w:sz w:val="28"/>
        </w:rPr>
        <w:t>
      13) цифрлық қаржы активтері – ақшаны қоспағанда,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өзге де мүлік болып табылатын цифрлық активтер;</w:t>
      </w:r>
    </w:p>
    <w:bookmarkEnd w:id="37"/>
    <w:bookmarkStart w:name="z47" w:id="38"/>
    <w:p>
      <w:pPr>
        <w:spacing w:after="0"/>
        <w:ind w:left="0"/>
        <w:jc w:val="both"/>
      </w:pPr>
      <w:r>
        <w:rPr>
          <w:rFonts w:ascii="Times New Roman"/>
          <w:b w:val="false"/>
          <w:i w:val="false"/>
          <w:color w:val="000000"/>
          <w:sz w:val="28"/>
        </w:rPr>
        <w:t>
      14) цифрлық қаржы құралдары – цифрлық қаржы активтері платформасы операторының цифрлық платформасында электрондық-цифрлық нысанда шығарылатын қаржы құралдары;</w:t>
      </w:r>
    </w:p>
    <w:bookmarkEnd w:id="38"/>
    <w:bookmarkStart w:name="z48" w:id="39"/>
    <w:p>
      <w:pPr>
        <w:spacing w:after="0"/>
        <w:ind w:left="0"/>
        <w:jc w:val="both"/>
      </w:pPr>
      <w:r>
        <w:rPr>
          <w:rFonts w:ascii="Times New Roman"/>
          <w:b w:val="false"/>
          <w:i w:val="false"/>
          <w:color w:val="000000"/>
          <w:sz w:val="28"/>
        </w:rPr>
        <w:t>
      15) Supervisory Review and Evaluation Process (Қадағалап талдау және бағалау процесі) (бұдан әрі – SREP) – банктің бизнес моделін, капитал тәуекелдерін, өтімділік тәуекелін, корпоративтік басқару жүйесін бағалауды сандық және сапалық талдау жолымен тәуекелге бағдарланған қадағалау шеңберінде жүзеге асырылатын банктердің қызметіндегі тәуекелдер мен кемшіліктерді бағалаудың жыл сайынғы қадағалау процесі.";</w:t>
      </w:r>
    </w:p>
    <w:bookmarkEnd w:id="39"/>
    <w:bookmarkStart w:name="z49" w:id="40"/>
    <w:p>
      <w:pPr>
        <w:spacing w:after="0"/>
        <w:ind w:left="0"/>
        <w:jc w:val="both"/>
      </w:pPr>
      <w:r>
        <w:rPr>
          <w:rFonts w:ascii="Times New Roman"/>
          <w:b w:val="false"/>
          <w:i w:val="false"/>
          <w:color w:val="000000"/>
          <w:sz w:val="28"/>
        </w:rPr>
        <w:t>
      мынадай мазмұндағы 13-тараумен толықтырылсын:</w:t>
      </w:r>
    </w:p>
    <w:bookmarkEnd w:id="40"/>
    <w:bookmarkStart w:name="z50" w:id="41"/>
    <w:p>
      <w:pPr>
        <w:spacing w:after="0"/>
        <w:ind w:left="0"/>
        <w:jc w:val="both"/>
      </w:pPr>
      <w:r>
        <w:rPr>
          <w:rFonts w:ascii="Times New Roman"/>
          <w:b w:val="false"/>
          <w:i w:val="false"/>
          <w:color w:val="000000"/>
          <w:sz w:val="28"/>
        </w:rPr>
        <w:t xml:space="preserve">
      "13-тарау. Залалдарды қамтудың (жабудың) жалпы қабілетін қамтамасыз ететін құралдар бойынша міндеттемелердің ең төмен мөлшері </w:t>
      </w:r>
    </w:p>
    <w:bookmarkEnd w:id="41"/>
    <w:bookmarkStart w:name="z51" w:id="42"/>
    <w:p>
      <w:pPr>
        <w:spacing w:after="0"/>
        <w:ind w:left="0"/>
        <w:jc w:val="both"/>
      </w:pPr>
      <w:r>
        <w:rPr>
          <w:rFonts w:ascii="Times New Roman"/>
          <w:b w:val="false"/>
          <w:i w:val="false"/>
          <w:color w:val="000000"/>
          <w:sz w:val="28"/>
        </w:rPr>
        <w:t>
      110. Залалдарды қамтудың (жабудың) жалпы қабілетін қамтамасыз ететін құралдар бойынша міндеттемелердің ең төмен мөлшерін есептеуге қойылатын талап жүйелік маңызы бар банктерге қолданылады.</w:t>
      </w:r>
    </w:p>
    <w:bookmarkEnd w:id="42"/>
    <w:bookmarkStart w:name="z52" w:id="43"/>
    <w:p>
      <w:pPr>
        <w:spacing w:after="0"/>
        <w:ind w:left="0"/>
        <w:jc w:val="both"/>
      </w:pPr>
      <w:r>
        <w:rPr>
          <w:rFonts w:ascii="Times New Roman"/>
          <w:b w:val="false"/>
          <w:i w:val="false"/>
          <w:color w:val="000000"/>
          <w:sz w:val="28"/>
        </w:rPr>
        <w:t xml:space="preserve">
      111. Залалдарды қамтудың (жабудың) жалпы қабілетін қамтамасыз ететін құралдарға Банктер туралы заңның </w:t>
      </w:r>
      <w:r>
        <w:rPr>
          <w:rFonts w:ascii="Times New Roman"/>
          <w:b w:val="false"/>
          <w:i w:val="false"/>
          <w:color w:val="000000"/>
          <w:sz w:val="28"/>
        </w:rPr>
        <w:t>86-бабының</w:t>
      </w:r>
      <w:r>
        <w:rPr>
          <w:rFonts w:ascii="Times New Roman"/>
          <w:b w:val="false"/>
          <w:i w:val="false"/>
          <w:color w:val="000000"/>
          <w:sz w:val="28"/>
        </w:rPr>
        <w:t xml:space="preserve"> 1, 2 және 3-тармақтарында айқындалған өлшемшарттарға сәйкес келетін, банктің меншікті капиталының құралдары мен борыштық қаржы құралдарын қоса алғанда, қаржы құралдары жатады.</w:t>
      </w:r>
    </w:p>
    <w:bookmarkEnd w:id="43"/>
    <w:bookmarkStart w:name="z53" w:id="44"/>
    <w:p>
      <w:pPr>
        <w:spacing w:after="0"/>
        <w:ind w:left="0"/>
        <w:jc w:val="both"/>
      </w:pPr>
      <w:r>
        <w:rPr>
          <w:rFonts w:ascii="Times New Roman"/>
          <w:b w:val="false"/>
          <w:i w:val="false"/>
          <w:color w:val="000000"/>
          <w:sz w:val="28"/>
        </w:rPr>
        <w:t>
      Залалдарды қамтудың (жабудың) жалпы қабілетін қамтамасыз ететін құралдардың құрамына енгізуге арналған борыштық қаржы құралдары мынадай талаптарға сәйкес келеді:</w:t>
      </w:r>
    </w:p>
    <w:bookmarkEnd w:id="44"/>
    <w:bookmarkStart w:name="z54" w:id="45"/>
    <w:p>
      <w:pPr>
        <w:spacing w:after="0"/>
        <w:ind w:left="0"/>
        <w:jc w:val="both"/>
      </w:pPr>
      <w:r>
        <w:rPr>
          <w:rFonts w:ascii="Times New Roman"/>
          <w:b w:val="false"/>
          <w:i w:val="false"/>
          <w:color w:val="000000"/>
          <w:sz w:val="28"/>
        </w:rPr>
        <w:t xml:space="preserve">
      банктік салым (депозит) түріндегі борыштық міндеттеме ресімделген жағдайда банктік салым шарты залалдарды жалпы қамту (өтеу) қабілетін қамтамасыз ететін құралдардың құрамына енгізу мақсатында оны ресімдеуге нұсқауды және оның Банктер туралы заңның </w:t>
      </w:r>
      <w:r>
        <w:rPr>
          <w:rFonts w:ascii="Times New Roman"/>
          <w:b w:val="false"/>
          <w:i w:val="false"/>
          <w:color w:val="000000"/>
          <w:sz w:val="28"/>
        </w:rPr>
        <w:t>86-бабының</w:t>
      </w:r>
      <w:r>
        <w:rPr>
          <w:rFonts w:ascii="Times New Roman"/>
          <w:b w:val="false"/>
          <w:i w:val="false"/>
          <w:color w:val="000000"/>
          <w:sz w:val="28"/>
        </w:rPr>
        <w:t xml:space="preserve"> 1, 2 және 3-тармақтарында белгіленген талаптарға сәйкестігі туралы ережені қамтиды;</w:t>
      </w:r>
    </w:p>
    <w:bookmarkEnd w:id="45"/>
    <w:bookmarkStart w:name="z55" w:id="46"/>
    <w:p>
      <w:pPr>
        <w:spacing w:after="0"/>
        <w:ind w:left="0"/>
        <w:jc w:val="both"/>
      </w:pPr>
      <w:r>
        <w:rPr>
          <w:rFonts w:ascii="Times New Roman"/>
          <w:b w:val="false"/>
          <w:i w:val="false"/>
          <w:color w:val="000000"/>
          <w:sz w:val="28"/>
        </w:rPr>
        <w:t xml:space="preserve">
      борыштық бағалы қағаздар шығарылған жағдайда эмиссия проспектісі залалдарды жалпы қамту (өтеу) қабілетін қамтамасыз ететін құралдардың құрамына енгізу мақсатында оларды шығаруға нұсқауды және осындай құралдардың Банктер туралы заңның </w:t>
      </w:r>
      <w:r>
        <w:rPr>
          <w:rFonts w:ascii="Times New Roman"/>
          <w:b w:val="false"/>
          <w:i w:val="false"/>
          <w:color w:val="000000"/>
          <w:sz w:val="28"/>
        </w:rPr>
        <w:t>86-бабының</w:t>
      </w:r>
      <w:r>
        <w:rPr>
          <w:rFonts w:ascii="Times New Roman"/>
          <w:b w:val="false"/>
          <w:i w:val="false"/>
          <w:color w:val="000000"/>
          <w:sz w:val="28"/>
        </w:rPr>
        <w:t xml:space="preserve"> 1, 2 және 3-тармақтарында белгіленген талаптарға сәйкестігі туралы ережені қамтиды.</w:t>
      </w:r>
    </w:p>
    <w:bookmarkEnd w:id="46"/>
    <w:bookmarkStart w:name="z56" w:id="47"/>
    <w:p>
      <w:pPr>
        <w:spacing w:after="0"/>
        <w:ind w:left="0"/>
        <w:jc w:val="both"/>
      </w:pPr>
      <w:r>
        <w:rPr>
          <w:rFonts w:ascii="Times New Roman"/>
          <w:b w:val="false"/>
          <w:i w:val="false"/>
          <w:color w:val="000000"/>
          <w:sz w:val="28"/>
        </w:rPr>
        <w:t>
      112. Залалдарды қамтудың (жабудың) жалпы қабілетін қамтамасыз ететін құралдар (TLAC) бойынша міндеттемелердің ең төмен мөлшері кредиттік тәуекел дәрежесі бойынша алынған активтер, шартты және ықтимал міндеттемелер, нарықтық тәуекелді, операциялық тәуекелді ескере отырып есептелген активтердің, шартты және ықтимал талаптар мен міндеттемелер сомасының мынадай пайыздық мәндерге көбейтіндісі ретінде айқындалады:</w:t>
      </w:r>
    </w:p>
    <w:bookmarkEnd w:id="47"/>
    <w:bookmarkStart w:name="z57" w:id="48"/>
    <w:p>
      <w:pPr>
        <w:spacing w:after="0"/>
        <w:ind w:left="0"/>
        <w:jc w:val="both"/>
      </w:pPr>
      <w:r>
        <w:rPr>
          <w:rFonts w:ascii="Times New Roman"/>
          <w:b w:val="false"/>
          <w:i w:val="false"/>
          <w:color w:val="000000"/>
          <w:sz w:val="28"/>
        </w:rPr>
        <w:t>
      13% – 2027 жылғы 1 қаңтардан бастап 31 желтоқсан аралығы;</w:t>
      </w:r>
    </w:p>
    <w:bookmarkEnd w:id="48"/>
    <w:bookmarkStart w:name="z58" w:id="49"/>
    <w:p>
      <w:pPr>
        <w:spacing w:after="0"/>
        <w:ind w:left="0"/>
        <w:jc w:val="both"/>
      </w:pPr>
      <w:r>
        <w:rPr>
          <w:rFonts w:ascii="Times New Roman"/>
          <w:b w:val="false"/>
          <w:i w:val="false"/>
          <w:color w:val="000000"/>
          <w:sz w:val="28"/>
        </w:rPr>
        <w:t>
      14% – 2028 жылғы 1 қаңтардан бастап 31 желтоқсан аралығы;</w:t>
      </w:r>
    </w:p>
    <w:bookmarkEnd w:id="49"/>
    <w:bookmarkStart w:name="z59" w:id="50"/>
    <w:p>
      <w:pPr>
        <w:spacing w:after="0"/>
        <w:ind w:left="0"/>
        <w:jc w:val="both"/>
      </w:pPr>
      <w:r>
        <w:rPr>
          <w:rFonts w:ascii="Times New Roman"/>
          <w:b w:val="false"/>
          <w:i w:val="false"/>
          <w:color w:val="000000"/>
          <w:sz w:val="28"/>
        </w:rPr>
        <w:t>
      15% – 2029 жылғы 1 қаңтардан бастап 31 желтоқсан аралығы;</w:t>
      </w:r>
    </w:p>
    <w:bookmarkEnd w:id="50"/>
    <w:bookmarkStart w:name="z60" w:id="51"/>
    <w:p>
      <w:pPr>
        <w:spacing w:after="0"/>
        <w:ind w:left="0"/>
        <w:jc w:val="both"/>
      </w:pPr>
      <w:r>
        <w:rPr>
          <w:rFonts w:ascii="Times New Roman"/>
          <w:b w:val="false"/>
          <w:i w:val="false"/>
          <w:color w:val="000000"/>
          <w:sz w:val="28"/>
        </w:rPr>
        <w:t>
      16% – 2030 жылғы 1 қаңтардан бастап 31 желтоқсан аралығы;</w:t>
      </w:r>
    </w:p>
    <w:bookmarkEnd w:id="51"/>
    <w:bookmarkStart w:name="z61" w:id="52"/>
    <w:p>
      <w:pPr>
        <w:spacing w:after="0"/>
        <w:ind w:left="0"/>
        <w:jc w:val="both"/>
      </w:pPr>
      <w:r>
        <w:rPr>
          <w:rFonts w:ascii="Times New Roman"/>
          <w:b w:val="false"/>
          <w:i w:val="false"/>
          <w:color w:val="000000"/>
          <w:sz w:val="28"/>
        </w:rPr>
        <w:t>
      17% – 2031 жылғы 1 қаңтардан бастап 31 желтоқсан аралығы;</w:t>
      </w:r>
    </w:p>
    <w:bookmarkEnd w:id="52"/>
    <w:bookmarkStart w:name="z62" w:id="53"/>
    <w:p>
      <w:pPr>
        <w:spacing w:after="0"/>
        <w:ind w:left="0"/>
        <w:jc w:val="both"/>
      </w:pPr>
      <w:r>
        <w:rPr>
          <w:rFonts w:ascii="Times New Roman"/>
          <w:b w:val="false"/>
          <w:i w:val="false"/>
          <w:color w:val="000000"/>
          <w:sz w:val="28"/>
        </w:rPr>
        <w:t>
      18% – 2032 жылғы 1 қаңтардан бастап.".</w:t>
      </w:r>
    </w:p>
    <w:bookmarkEnd w:id="53"/>
    <w:bookmarkStart w:name="z63" w:id="54"/>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54"/>
    <w:bookmarkStart w:name="z64" w:id="5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5"/>
    <w:bookmarkStart w:name="z65" w:id="56"/>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56"/>
    <w:bookmarkStart w:name="z66" w:id="5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7"/>
    <w:bookmarkStart w:name="z67" w:id="58"/>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58"/>
    <w:bookmarkStart w:name="z68" w:id="5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