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0f42" w14:textId="db40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тәуекелдеріне ішкі талдау жүргізудің үлгілік қағидаларын бекіту туралы" Қазақстан Республикасы Мемлекеттік қызмет істері және сыбайлас жемқорлыққа қарсы іс-қимыл агенттігі Төрағасының 2016 жылғы 19 қазандағы № 12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2026 жылғы 6 тамыздағы № 138 бұйрығы. Қазақстан Республикасының Әділет министрлігінде 2026 жылғы 6 тамызда № 39518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13.08.2026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19 қазандағы № 12 "Сыбайлас жемқорлық тәуекелдеріне ішкі талдау жүргізудің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14441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"Қазақстан Республикасының "Сыбайлас жемқорлыққа қарсы іс-қимыл туралы" Заңының 8-бабының 5-тармағына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көрсетілген бұйрықпен бекітілген Сыбайлас жемқорлық тәуекелдеріне сыртқы талдау жүргізудің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13" w:id="4"/>
    <w:p>
      <w:pPr>
        <w:spacing w:after="0"/>
        <w:ind w:left="0"/>
        <w:jc w:val="both"/>
      </w:pPr>
      <w:r>
        <w:rPr>
          <w:rFonts w:ascii="Times New Roman"/>
          <w:b w:val="false"/>
          <w:i w:val="false"/>
          <w:color w:val="000000"/>
          <w:sz w:val="28"/>
        </w:rPr>
        <w:t>
      "Сыбайлас жемқорлыққа қарсы саясат жөніндегі уәкілетті орган талдау объектісінің қызметіндегі сыбайлас жемқорлық тәуекелдеріне сыртқы талдау жүргізген жағдайда, сыбайлас жемқорлық тәуекелдеріне ішкі талдау ол аяқталған күннен бастап бір жыл өткен соң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"13. Мынадай мәселелер талдау объектісінің ұйымдастырушылық-басқарушылық қызметі деп түсініледі:</w:t>
      </w:r>
    </w:p>
    <w:bookmarkEnd w:id="5"/>
    <w:bookmarkStart w:name="z16" w:id="6"/>
    <w:p>
      <w:pPr>
        <w:spacing w:after="0"/>
        <w:ind w:left="0"/>
        <w:jc w:val="both"/>
      </w:pPr>
      <w:r>
        <w:rPr>
          <w:rFonts w:ascii="Times New Roman"/>
          <w:b w:val="false"/>
          <w:i w:val="false"/>
          <w:color w:val="000000"/>
          <w:sz w:val="28"/>
        </w:rPr>
        <w:t>
      1) персоналды басқару, оның ішінде сыбайлас жемқорлық тәуекелдеріне шалдыққан лауазымдарды айқындау;</w:t>
      </w:r>
    </w:p>
    <w:bookmarkEnd w:id="6"/>
    <w:bookmarkStart w:name="z17" w:id="7"/>
    <w:p>
      <w:pPr>
        <w:spacing w:after="0"/>
        <w:ind w:left="0"/>
        <w:jc w:val="both"/>
      </w:pPr>
      <w:r>
        <w:rPr>
          <w:rFonts w:ascii="Times New Roman"/>
          <w:b w:val="false"/>
          <w:i w:val="false"/>
          <w:color w:val="000000"/>
          <w:sz w:val="28"/>
        </w:rPr>
        <w:t>
      2) мүдделер қақтығысын алдын алу және реттеу;</w:t>
      </w:r>
    </w:p>
    <w:bookmarkEnd w:id="7"/>
    <w:bookmarkStart w:name="z18" w:id="8"/>
    <w:p>
      <w:pPr>
        <w:spacing w:after="0"/>
        <w:ind w:left="0"/>
        <w:jc w:val="both"/>
      </w:pPr>
      <w:r>
        <w:rPr>
          <w:rFonts w:ascii="Times New Roman"/>
          <w:b w:val="false"/>
          <w:i w:val="false"/>
          <w:color w:val="000000"/>
          <w:sz w:val="28"/>
        </w:rPr>
        <w:t>
      3) мемлекеттік қызметтер көрсету;</w:t>
      </w:r>
    </w:p>
    <w:bookmarkEnd w:id="8"/>
    <w:bookmarkStart w:name="z19" w:id="9"/>
    <w:p>
      <w:pPr>
        <w:spacing w:after="0"/>
        <w:ind w:left="0"/>
        <w:jc w:val="both"/>
      </w:pPr>
      <w:r>
        <w:rPr>
          <w:rFonts w:ascii="Times New Roman"/>
          <w:b w:val="false"/>
          <w:i w:val="false"/>
          <w:color w:val="000000"/>
          <w:sz w:val="28"/>
        </w:rPr>
        <w:t>
      4) рұқсат беру функцияларын іске асыру;</w:t>
      </w:r>
    </w:p>
    <w:bookmarkEnd w:id="9"/>
    <w:bookmarkStart w:name="z20" w:id="10"/>
    <w:p>
      <w:pPr>
        <w:spacing w:after="0"/>
        <w:ind w:left="0"/>
        <w:jc w:val="both"/>
      </w:pPr>
      <w:r>
        <w:rPr>
          <w:rFonts w:ascii="Times New Roman"/>
          <w:b w:val="false"/>
          <w:i w:val="false"/>
          <w:color w:val="000000"/>
          <w:sz w:val="28"/>
        </w:rPr>
        <w:t>
      5) бақылау-тексеру функцияларын іске асыру;</w:t>
      </w:r>
    </w:p>
    <w:bookmarkEnd w:id="10"/>
    <w:bookmarkStart w:name="z21" w:id="11"/>
    <w:p>
      <w:pPr>
        <w:spacing w:after="0"/>
        <w:ind w:left="0"/>
        <w:jc w:val="both"/>
      </w:pPr>
      <w:r>
        <w:rPr>
          <w:rFonts w:ascii="Times New Roman"/>
          <w:b w:val="false"/>
          <w:i w:val="false"/>
          <w:color w:val="000000"/>
          <w:sz w:val="28"/>
        </w:rPr>
        <w:t>
      6) бюджет және қаржы қаражатын игеру және бөлу;</w:t>
      </w:r>
    </w:p>
    <w:bookmarkEnd w:id="11"/>
    <w:bookmarkStart w:name="z22" w:id="12"/>
    <w:p>
      <w:pPr>
        <w:spacing w:after="0"/>
        <w:ind w:left="0"/>
        <w:jc w:val="both"/>
      </w:pPr>
      <w:r>
        <w:rPr>
          <w:rFonts w:ascii="Times New Roman"/>
          <w:b w:val="false"/>
          <w:i w:val="false"/>
          <w:color w:val="000000"/>
          <w:sz w:val="28"/>
        </w:rPr>
        <w:t>
      7) мемлекеттік сатып алуларды жүзеге асыру;</w:t>
      </w:r>
    </w:p>
    <w:bookmarkEnd w:id="12"/>
    <w:bookmarkStart w:name="z23" w:id="13"/>
    <w:p>
      <w:pPr>
        <w:spacing w:after="0"/>
        <w:ind w:left="0"/>
        <w:jc w:val="both"/>
      </w:pPr>
      <w:r>
        <w:rPr>
          <w:rFonts w:ascii="Times New Roman"/>
          <w:b w:val="false"/>
          <w:i w:val="false"/>
          <w:color w:val="000000"/>
          <w:sz w:val="28"/>
        </w:rPr>
        <w:t>
      8) бюджеттік жоспарлау;</w:t>
      </w:r>
    </w:p>
    <w:bookmarkEnd w:id="13"/>
    <w:bookmarkStart w:name="z24" w:id="14"/>
    <w:p>
      <w:pPr>
        <w:spacing w:after="0"/>
        <w:ind w:left="0"/>
        <w:jc w:val="both"/>
      </w:pPr>
      <w:r>
        <w:rPr>
          <w:rFonts w:ascii="Times New Roman"/>
          <w:b w:val="false"/>
          <w:i w:val="false"/>
          <w:color w:val="000000"/>
          <w:sz w:val="28"/>
        </w:rPr>
        <w:t>
      9) жеке және заңды тұлғалармен шарттар жасасу;</w:t>
      </w:r>
    </w:p>
    <w:bookmarkEnd w:id="14"/>
    <w:bookmarkStart w:name="z25" w:id="15"/>
    <w:p>
      <w:pPr>
        <w:spacing w:after="0"/>
        <w:ind w:left="0"/>
        <w:jc w:val="both"/>
      </w:pPr>
      <w:r>
        <w:rPr>
          <w:rFonts w:ascii="Times New Roman"/>
          <w:b w:val="false"/>
          <w:i w:val="false"/>
          <w:color w:val="000000"/>
          <w:sz w:val="28"/>
        </w:rPr>
        <w:t>
      10) цифрлық жүйелерді әзірлеу және пайдалану;</w:t>
      </w:r>
    </w:p>
    <w:bookmarkEnd w:id="15"/>
    <w:bookmarkStart w:name="z26" w:id="16"/>
    <w:p>
      <w:pPr>
        <w:spacing w:after="0"/>
        <w:ind w:left="0"/>
        <w:jc w:val="both"/>
      </w:pPr>
      <w:r>
        <w:rPr>
          <w:rFonts w:ascii="Times New Roman"/>
          <w:b w:val="false"/>
          <w:i w:val="false"/>
          <w:color w:val="000000"/>
          <w:sz w:val="28"/>
        </w:rPr>
        <w:t>
      11) талдау объектісінің ұйымдастырушылық-басқарушылық қызметінен туындайтын өзге де мәселелер.";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8" w:id="17"/>
    <w:p>
      <w:pPr>
        <w:spacing w:after="0"/>
        <w:ind w:left="0"/>
        <w:jc w:val="both"/>
      </w:pPr>
      <w:r>
        <w:rPr>
          <w:rFonts w:ascii="Times New Roman"/>
          <w:b w:val="false"/>
          <w:i w:val="false"/>
          <w:color w:val="000000"/>
          <w:sz w:val="28"/>
        </w:rPr>
        <w:t>
      мынадай мазмұндағы 3-1) тармақшамен толықтырылсын:</w:t>
      </w:r>
    </w:p>
    <w:bookmarkEnd w:id="17"/>
    <w:bookmarkStart w:name="z29" w:id="18"/>
    <w:p>
      <w:pPr>
        <w:spacing w:after="0"/>
        <w:ind w:left="0"/>
        <w:jc w:val="both"/>
      </w:pPr>
      <w:r>
        <w:rPr>
          <w:rFonts w:ascii="Times New Roman"/>
          <w:b w:val="false"/>
          <w:i w:val="false"/>
          <w:color w:val="000000"/>
          <w:sz w:val="28"/>
        </w:rPr>
        <w:t>
      "3-1) талдау объектісінің қызметіне байланысты мәселелер бойынша заңды күшіне енген сот актілері;";</w:t>
      </w:r>
    </w:p>
    <w:bookmarkEnd w:id="18"/>
    <w:bookmarkStart w:name="z30" w:id="19"/>
    <w:p>
      <w:pPr>
        <w:spacing w:after="0"/>
        <w:ind w:left="0"/>
        <w:jc w:val="both"/>
      </w:pPr>
      <w:r>
        <w:rPr>
          <w:rFonts w:ascii="Times New Roman"/>
          <w:b w:val="false"/>
          <w:i w:val="false"/>
          <w:color w:val="000000"/>
          <w:sz w:val="28"/>
        </w:rPr>
        <w:t>
      мынадай мазмұндағы 7-1) тармақшамен толықтырылсын:</w:t>
      </w:r>
    </w:p>
    <w:bookmarkEnd w:id="19"/>
    <w:bookmarkStart w:name="z31" w:id="20"/>
    <w:p>
      <w:pPr>
        <w:spacing w:after="0"/>
        <w:ind w:left="0"/>
        <w:jc w:val="both"/>
      </w:pPr>
      <w:r>
        <w:rPr>
          <w:rFonts w:ascii="Times New Roman"/>
          <w:b w:val="false"/>
          <w:i w:val="false"/>
          <w:color w:val="000000"/>
          <w:sz w:val="28"/>
        </w:rPr>
        <w:t xml:space="preserve">
      "7-1) талдау объектісінің ішкі сыбайлас жемқорлық тәуекелдеріне қатысты болуы мүмкін ақпаратты қамтитын әлеуметтік желілерде және интернет-ресурстарда жарияланған жарияланымдар, өтініштер және өзге де мәліметтер;";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19-1-тармақпен толықтырылсын:</w:t>
      </w:r>
    </w:p>
    <w:bookmarkStart w:name="z33" w:id="21"/>
    <w:p>
      <w:pPr>
        <w:spacing w:after="0"/>
        <w:ind w:left="0"/>
        <w:jc w:val="both"/>
      </w:pPr>
      <w:r>
        <w:rPr>
          <w:rFonts w:ascii="Times New Roman"/>
          <w:b w:val="false"/>
          <w:i w:val="false"/>
          <w:color w:val="000000"/>
          <w:sz w:val="28"/>
        </w:rPr>
        <w:t>
      "19-1. Ішкі сыбайлас жемқорлық тәуекелдеріне талдау нәтижелері бойынша ішкі талдау субъектісі сыбайлас жемқорлық тәуекелдеріне сыртқы талдау жүргізу қажеттілігі туралы сыбайлас жемқорлыққа қарсы саясат жөніндегі уәкілетті органға сұрау салуға құқылы.";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"21. Сыбайлас жемқорлық тәуекелдеріне шалдыққан лауазымдардың тізбесін әдеп жөніндегі уәкілдер, сыбайлас жемқорлыққа қарсы комплаенс-қызметтер және өзге де құрылымдық бөлімшелер немесе мемлекеттік органдардың, ұйымдардың және квазимемлекеттік сектор субъектілерінің сыбайлас жемқорлыққа қарсы іс-қимыл саласындағы Қазақстан Республикасының заңнамасын бұзушылықтардың алдын алу және оларға жол бермеу жөніндегі функцияларды жүзеге асыратын тұлғалары сыбайлас жемқорлық тәуекелдеріне шалдыққан лауазымдарды атқаратын адамдармен жүйелі профилактикалық жұмысты ұйымдастыру кезінде пайдаланады.";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екінші бөлікпен толықтырылсын:</w:t>
      </w:r>
    </w:p>
    <w:bookmarkStart w:name="z37" w:id="23"/>
    <w:p>
      <w:pPr>
        <w:spacing w:after="0"/>
        <w:ind w:left="0"/>
        <w:jc w:val="both"/>
      </w:pPr>
      <w:r>
        <w:rPr>
          <w:rFonts w:ascii="Times New Roman"/>
          <w:b w:val="false"/>
          <w:i w:val="false"/>
          <w:color w:val="000000"/>
          <w:sz w:val="28"/>
        </w:rPr>
        <w:t>
      "Анықталған сыбайлас жемқорлық тәуекелдері және іс-шаралар жоспарының орындалу барысы туралы ақпарат ішкі талдау субъектісінің бірінші басшысына жарты жылда бір рет, 15 қаңтар және 15 шілдеге дейін ұсынылады.".</w:t>
      </w:r>
    </w:p>
    <w:bookmarkEnd w:id="23"/>
    <w:bookmarkStart w:name="z38" w:id="24"/>
    <w:p>
      <w:pPr>
        <w:spacing w:after="0"/>
        <w:ind w:left="0"/>
        <w:jc w:val="both"/>
      </w:pPr>
      <w:r>
        <w:rPr>
          <w:rFonts w:ascii="Times New Roman"/>
          <w:b w:val="false"/>
          <w:i w:val="false"/>
          <w:color w:val="000000"/>
          <w:sz w:val="28"/>
        </w:rPr>
        <w:t xml:space="preserve">
      2. Қазақстан Республикасы Мемлекеттік қызмет істері агенттігінің Бюрократиядан арылту және сыбайлас жемқорлықтың алдын алу департаменті заңнамада белгіленген тәртіппен: </w:t>
      </w:r>
    </w:p>
    <w:bookmarkEnd w:id="24"/>
    <w:bookmarkStart w:name="z39" w:id="25"/>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5"/>
    <w:bookmarkStart w:name="z40" w:id="26"/>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Мемлекеттік қызмет істері агенттігінің интернет-ресурсында орналастыруды қамтамасыз етсін. </w:t>
      </w:r>
    </w:p>
    <w:bookmarkEnd w:id="26"/>
    <w:bookmarkStart w:name="z41" w:id="2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Мемлекеттік қызмет істері агенттігі Төрағасының сыбайлас жемқорлыққа қарсы саясат мәселелеріне жетекшілік ететін орынбасарына жүктелсін. </w:t>
      </w:r>
    </w:p>
    <w:bookmarkEnd w:id="27"/>
    <w:bookmarkStart w:name="z42" w:id="28"/>
    <w:p>
      <w:pPr>
        <w:spacing w:after="0"/>
        <w:ind w:left="0"/>
        <w:jc w:val="both"/>
      </w:pPr>
      <w:r>
        <w:rPr>
          <w:rFonts w:ascii="Times New Roman"/>
          <w:b w:val="false"/>
          <w:i w:val="false"/>
          <w:color w:val="000000"/>
          <w:sz w:val="28"/>
        </w:rPr>
        <w:t>
      4. Осы бұйрық 2026 жылғы 13 тамыздан бастап қолданысқа енгізіледі және ресми жариялануға тиіс.</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