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122f" w14:textId="4a41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объектілерінде қамтылған қол жеткізу шектелген ақпаратты қоспағанда, деректерге талдау жүргізу қағидаларын бекіту туралы" Қазақстан Республикасы Цифрлық даму, инновациялар және аэроғарыш өнеркәсібі министрінің 2021 жылғы 31 наурыздағы № 111/НҚ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14 шiлдедегi № 411/НҚ бұйрығы. Қазақстан Республикасының Әділет министрлігінде 2026 жылғы 18 шiлдеде № 39343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ақпараттандыру объектілеріндегі қол жеткізу шектелген ақпаратты қоспағанда, деректерге талдау жүргізу қағидаларын бекіту туралы" Қазақстан Республикасы Цифрлық даму, инновациялар және аэроғарыш өнеркәсібі министрінің 2021 жылғы 31 наурыздағы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органдардың цифрлық объектілерінде қамтылған қол жеткізу шектелген ақпаратты қоспағанда, деректерге талдау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Мемлекеттік органдардың цифрлық объектілерінде қамтылған қол жеткізу шектелген ақпаратты қоспағанда, деректерге талдау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цифрлық объектілеріндегі қол жеткізу шектелген ақпаратты қоспағанда, деректерге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трансформация архитектурасы және саясаты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20"/>
              <w:ind w:left="20"/>
              <w:jc w:val="both"/>
            </w:pPr>
            <w:r>
              <w:rPr>
                <w:rFonts w:ascii="Times New Roman"/>
                <w:b w:val="false"/>
                <w:i/>
                <w:color w:val="000000"/>
                <w:sz w:val="20"/>
              </w:rPr>
              <w:t xml:space="preserve">даму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 xml:space="preserve">цифрлық даму министрдің </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14 шілдедегі</w:t>
            </w:r>
            <w:r>
              <w:br/>
            </w:r>
            <w:r>
              <w:rPr>
                <w:rFonts w:ascii="Times New Roman"/>
                <w:b w:val="false"/>
                <w:i w:val="false"/>
                <w:color w:val="000000"/>
                <w:sz w:val="20"/>
              </w:rPr>
              <w:t>№ 411/НҚ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111/НҚ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Мемлекеттік органдардың цифрлық объектілерінде қамтылған қол жеткізу шектелген ақпаратты қоспағанда, деректерге талдау жүргізу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Мемлекеттік органдардың цифрлық объектілерінде қамтылған қол жеткізу шектелген ақпаратты қоспағанда, деректерге талдау жүргізу қағидалары (бұдан әрі – Қағидалар) "Ақпаратқа қол жеткізу туралы" Қазақстан Республикасы Заңының 6-2-бабы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356) тармақшасына</w:t>
      </w:r>
      <w:r>
        <w:rPr>
          <w:rFonts w:ascii="Times New Roman"/>
          <w:b w:val="false"/>
          <w:i w:val="false"/>
          <w:color w:val="000000"/>
          <w:sz w:val="28"/>
        </w:rPr>
        <w:t xml:space="preserve"> сәйкес әзірленді және мемлекеттік органдардың цифрлық объектілерінде қамтылған қол жеткізу шектелген ақпаратты қоспағанда, деректерге талдау жүргізу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0" w:id="15"/>
    <w:p>
      <w:pPr>
        <w:spacing w:after="0"/>
        <w:ind w:left="0"/>
        <w:jc w:val="both"/>
      </w:pPr>
      <w:r>
        <w:rPr>
          <w:rFonts w:ascii="Times New Roman"/>
          <w:b w:val="false"/>
          <w:i w:val="false"/>
          <w:color w:val="000000"/>
          <w:sz w:val="28"/>
        </w:rPr>
        <w:t>
      1) ақпарат пайдаланушы – ақпаратты сұрататын және (немесе) пайдаланатын жеке немесе заңды тұлға;</w:t>
      </w:r>
    </w:p>
    <w:bookmarkEnd w:id="15"/>
    <w:bookmarkStart w:name="z21" w:id="16"/>
    <w:p>
      <w:pPr>
        <w:spacing w:after="0"/>
        <w:ind w:left="0"/>
        <w:jc w:val="both"/>
      </w:pPr>
      <w:r>
        <w:rPr>
          <w:rFonts w:ascii="Times New Roman"/>
          <w:b w:val="false"/>
          <w:i w:val="false"/>
          <w:color w:val="000000"/>
          <w:sz w:val="28"/>
        </w:rPr>
        <w:t>
      2) архитектуралық-үйлестіруші орталық – мемлекеттік органдардың, мемлекеттік заңды тұлғалардың, квазимемлекеттік сектор субъектілерінің, дауыс беретін акцияларының (қатысу үлестерінің) елу және одан да көп пайызы тікелей немесе жанама түрде квазимемлекеттік сектор субъектілеріне тиесілі заңды тұлғалардың, сондай-ақ мемлекеттік басқару процестеріне қатысатын өзге де ұйымдардың цифрлық архитектурасының тұтастығын, үйлесімділігін және тиімділігін қамтамасыз ететін Қазақстан Республикасының Үкіметі айқындайтын заңды тұлға.</w:t>
      </w:r>
    </w:p>
    <w:bookmarkEnd w:id="16"/>
    <w:bookmarkStart w:name="z22" w:id="17"/>
    <w:p>
      <w:pPr>
        <w:spacing w:after="0"/>
        <w:ind w:left="0"/>
        <w:jc w:val="both"/>
      </w:pPr>
      <w:r>
        <w:rPr>
          <w:rFonts w:ascii="Times New Roman"/>
          <w:b w:val="false"/>
          <w:i w:val="false"/>
          <w:color w:val="000000"/>
          <w:sz w:val="28"/>
        </w:rPr>
        <w:t>
      3) ашық деректер – машинада оқылатын нысанда ұсынылған және еркін пайдалануға, өңдеуге, қайта жариялауға және таратуға арналған, ашық қолжетімділікте орналастырылған цифрлық деректер;</w:t>
      </w:r>
    </w:p>
    <w:bookmarkEnd w:id="17"/>
    <w:bookmarkStart w:name="z23" w:id="18"/>
    <w:p>
      <w:pPr>
        <w:spacing w:after="0"/>
        <w:ind w:left="0"/>
        <w:jc w:val="both"/>
      </w:pPr>
      <w:r>
        <w:rPr>
          <w:rFonts w:ascii="Times New Roman"/>
          <w:b w:val="false"/>
          <w:i w:val="false"/>
          <w:color w:val="000000"/>
          <w:sz w:val="28"/>
        </w:rPr>
        <w:t>
      4) ашық деректер жиынтығы – атрибуттар жиынтығымен сипатталатын жекелеген элементтерден тұратын және цифрлық жүйелерге адамның қатысуынсыз осындай элементтерді сәйкестендіруге, түсіндіруге және өңдеуге мүмкіндік беретін ашық деректер нысанында ұсынылған бір үлгідегі деректердің жүйелендірілген жиынтығы;</w:t>
      </w:r>
    </w:p>
    <w:bookmarkEnd w:id="18"/>
    <w:bookmarkStart w:name="z24" w:id="19"/>
    <w:p>
      <w:pPr>
        <w:spacing w:after="0"/>
        <w:ind w:left="0"/>
        <w:jc w:val="both"/>
      </w:pPr>
      <w:r>
        <w:rPr>
          <w:rFonts w:ascii="Times New Roman"/>
          <w:b w:val="false"/>
          <w:i w:val="false"/>
          <w:color w:val="000000"/>
          <w:sz w:val="28"/>
        </w:rPr>
        <w:t>
      5) ашық деректердің интернет-порталы (бұдан әрі – интернет-портал) - ашық деректер бойынша сипаттаушы және сілтемелік ақпараттың орталықтандырылған сақталуын қамтамасыз ететін ашық үкіметтің құрауышы;</w:t>
      </w:r>
    </w:p>
    <w:bookmarkEnd w:id="19"/>
    <w:bookmarkStart w:name="z25" w:id="20"/>
    <w:p>
      <w:pPr>
        <w:spacing w:after="0"/>
        <w:ind w:left="0"/>
        <w:jc w:val="both"/>
      </w:pPr>
      <w:r>
        <w:rPr>
          <w:rFonts w:ascii="Times New Roman"/>
          <w:b w:val="false"/>
          <w:i w:val="false"/>
          <w:color w:val="000000"/>
          <w:sz w:val="28"/>
        </w:rPr>
        <w:t>
      6)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20"/>
    <w:bookmarkStart w:name="z26" w:id="21"/>
    <w:p>
      <w:pPr>
        <w:spacing w:after="0"/>
        <w:ind w:left="0"/>
        <w:jc w:val="both"/>
      </w:pPr>
      <w:r>
        <w:rPr>
          <w:rFonts w:ascii="Times New Roman"/>
          <w:b w:val="false"/>
          <w:i w:val="false"/>
          <w:color w:val="000000"/>
          <w:sz w:val="28"/>
        </w:rPr>
        <w:t>
      7)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21"/>
    <w:bookmarkStart w:name="z27" w:id="22"/>
    <w:p>
      <w:pPr>
        <w:spacing w:after="0"/>
        <w:ind w:left="0"/>
        <w:jc w:val="both"/>
      </w:pPr>
      <w:r>
        <w:rPr>
          <w:rFonts w:ascii="Times New Roman"/>
          <w:b w:val="false"/>
          <w:i w:val="false"/>
          <w:color w:val="000000"/>
          <w:sz w:val="28"/>
        </w:rPr>
        <w:t>
      3. Мемлекеттік органдардың цифрлық объектілеріндегі қол жеткізу шектелген ақпаратты қоспағанда, деректерді талдау оларды ашық деректердің интернет-порталында кейіннен орналастыру мақсатында жүргізіледі.</w:t>
      </w:r>
    </w:p>
    <w:bookmarkEnd w:id="22"/>
    <w:bookmarkStart w:name="z28" w:id="23"/>
    <w:p>
      <w:pPr>
        <w:spacing w:after="0"/>
        <w:ind w:left="0"/>
        <w:jc w:val="left"/>
      </w:pPr>
      <w:r>
        <w:rPr>
          <w:rFonts w:ascii="Times New Roman"/>
          <w:b/>
          <w:i w:val="false"/>
          <w:color w:val="000000"/>
        </w:rPr>
        <w:t xml:space="preserve"> 2-тарау. Мемлекеттік органдардың цифрлық объектілерінде қамтылған, қол жеткізу шектелген ақпаратты қоспағанда, деректерге талдау жүргізу тәртібі</w:t>
      </w:r>
    </w:p>
    <w:bookmarkEnd w:id="23"/>
    <w:bookmarkStart w:name="z29" w:id="24"/>
    <w:p>
      <w:pPr>
        <w:spacing w:after="0"/>
        <w:ind w:left="0"/>
        <w:jc w:val="both"/>
      </w:pPr>
      <w:r>
        <w:rPr>
          <w:rFonts w:ascii="Times New Roman"/>
          <w:b w:val="false"/>
          <w:i w:val="false"/>
          <w:color w:val="000000"/>
          <w:sz w:val="28"/>
        </w:rPr>
        <w:t xml:space="preserve">
      4. Уәкілетті орган Қазақстан Республикасы Ақпарат және қоғамдық даму министрінің 2023 жылғы 13 шілдедегі № 281-НҚ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Ақпаратқа қол жеткізу мәселелері жөніндегі комиссия туралы ережеге (бұдан әрі – Комиссия) (Нормативтік құқықтық актілерді мемлекеттік тіркеу тізілімінде № 33096 болып тіркелген) сәйкес құрылатын Комиссия ұсыныстарының негізінде интернет-порталда ашық деректер жиынтығының санын кеңейту және ақпаратты пайдаланушылардың сұранысын арттыру мақсатында мемлекеттік органдардың цифрлық объектілерінде қамтылған қол жеткізу шектелген ақпаратты қоспағанда, деректерге талдау жүргізу үшін зерттеп-қарауға жататын мемлекеттік органдардың (бұдан әрі – зерттеп қаралатын мемлекеттік орган) тізімін қалыптастырады.</w:t>
      </w:r>
    </w:p>
    <w:bookmarkEnd w:id="24"/>
    <w:bookmarkStart w:name="z30" w:id="25"/>
    <w:p>
      <w:pPr>
        <w:spacing w:after="0"/>
        <w:ind w:left="0"/>
        <w:jc w:val="both"/>
      </w:pPr>
      <w:r>
        <w:rPr>
          <w:rFonts w:ascii="Times New Roman"/>
          <w:b w:val="false"/>
          <w:i w:val="false"/>
          <w:color w:val="000000"/>
          <w:sz w:val="28"/>
        </w:rPr>
        <w:t>
      5. Уәкілетті орган архитектуралық-үйлестіруші орталыққа тізімге енгізілген мемлекеттік органдардың цифрлық объектілердегі деректерге талдау жүргізу туралы еркін түрде ресми сұрау салу жібереді.</w:t>
      </w:r>
    </w:p>
    <w:bookmarkEnd w:id="25"/>
    <w:bookmarkStart w:name="z31" w:id="26"/>
    <w:p>
      <w:pPr>
        <w:spacing w:after="0"/>
        <w:ind w:left="0"/>
        <w:jc w:val="both"/>
      </w:pPr>
      <w:r>
        <w:rPr>
          <w:rFonts w:ascii="Times New Roman"/>
          <w:b w:val="false"/>
          <w:i w:val="false"/>
          <w:color w:val="000000"/>
          <w:sz w:val="28"/>
        </w:rPr>
        <w:t xml:space="preserve">
      6. Архитектуралық-үйлестіруші орталық уәкілетті органның ресми сұрау салуына сілтеме жасай отырып, цифрлық жүйелерден түсіруді алуға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зерттеп қаралатын мемлекеттік органға цифрлық жүйелердің тізбесі және цифрлық жүйелер жөніндегі мәліметтер туралы ресми сұрау салу жібереді.</w:t>
      </w:r>
    </w:p>
    <w:bookmarkEnd w:id="26"/>
    <w:bookmarkStart w:name="z32" w:id="27"/>
    <w:p>
      <w:pPr>
        <w:spacing w:after="0"/>
        <w:ind w:left="0"/>
        <w:jc w:val="both"/>
      </w:pPr>
      <w:r>
        <w:rPr>
          <w:rFonts w:ascii="Times New Roman"/>
          <w:b w:val="false"/>
          <w:i w:val="false"/>
          <w:color w:val="000000"/>
          <w:sz w:val="28"/>
        </w:rPr>
        <w:t>
      Зерттеп-қаралатын мемлекеттік орган сұрау салуды алған күннен бастап бес жұмыс күні ішінде цифрлық жүйелердің тізбесі және цифрлық жүйелер туралы мәліметтерді архитектуралық-үйлестіруші орталыққа ұсынады.</w:t>
      </w:r>
    </w:p>
    <w:bookmarkEnd w:id="27"/>
    <w:bookmarkStart w:name="z33" w:id="28"/>
    <w:p>
      <w:pPr>
        <w:spacing w:after="0"/>
        <w:ind w:left="0"/>
        <w:jc w:val="both"/>
      </w:pPr>
      <w:r>
        <w:rPr>
          <w:rFonts w:ascii="Times New Roman"/>
          <w:b w:val="false"/>
          <w:i w:val="false"/>
          <w:color w:val="000000"/>
          <w:sz w:val="28"/>
        </w:rPr>
        <w:t xml:space="preserve">
      7. Архитектуралық-үйлестіруші орталық екі ай ішінде ұсынылған түсірілімдерге талдау жүргізеді, ашық деректер жиынтығын қалыптастыру үшін ашық деректердің болуын анықтайды,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ашық деректер жиынтығының технологиялық паспортының жобасын (бұдан әрі – паспорт жобасы) әзірлейді.</w:t>
      </w:r>
    </w:p>
    <w:bookmarkEnd w:id="28"/>
    <w:bookmarkStart w:name="z34" w:id="29"/>
    <w:p>
      <w:pPr>
        <w:spacing w:after="0"/>
        <w:ind w:left="0"/>
        <w:jc w:val="both"/>
      </w:pPr>
      <w:r>
        <w:rPr>
          <w:rFonts w:ascii="Times New Roman"/>
          <w:b w:val="false"/>
          <w:i w:val="false"/>
          <w:color w:val="000000"/>
          <w:sz w:val="28"/>
        </w:rPr>
        <w:t>
      Деректерді талдау кезінде архитектуралық-үйлестіруші орталық мынадай өлшемшарттарға сүйенеді:</w:t>
      </w:r>
    </w:p>
    <w:bookmarkEnd w:id="29"/>
    <w:bookmarkStart w:name="z35" w:id="30"/>
    <w:p>
      <w:pPr>
        <w:spacing w:after="0"/>
        <w:ind w:left="0"/>
        <w:jc w:val="both"/>
      </w:pPr>
      <w:r>
        <w:rPr>
          <w:rFonts w:ascii="Times New Roman"/>
          <w:b w:val="false"/>
          <w:i w:val="false"/>
          <w:color w:val="000000"/>
          <w:sz w:val="28"/>
        </w:rPr>
        <w:t>
      1) деректер қол жеткізу шектелген ақпарат болып табылмайды;</w:t>
      </w:r>
    </w:p>
    <w:bookmarkEnd w:id="30"/>
    <w:bookmarkStart w:name="z36" w:id="31"/>
    <w:p>
      <w:pPr>
        <w:spacing w:after="0"/>
        <w:ind w:left="0"/>
        <w:jc w:val="both"/>
      </w:pPr>
      <w:r>
        <w:rPr>
          <w:rFonts w:ascii="Times New Roman"/>
          <w:b w:val="false"/>
          <w:i w:val="false"/>
          <w:color w:val="000000"/>
          <w:sz w:val="28"/>
        </w:rPr>
        <w:t>
      2) деректер азаматтар мен бизнес тарапынан сұранысқа ие болу. Сұранысқа иелігі мынадай объективті көрсеткіштер негізінде айқындалады:</w:t>
      </w:r>
    </w:p>
    <w:bookmarkEnd w:id="31"/>
    <w:bookmarkStart w:name="z37" w:id="32"/>
    <w:p>
      <w:pPr>
        <w:spacing w:after="0"/>
        <w:ind w:left="0"/>
        <w:jc w:val="both"/>
      </w:pPr>
      <w:r>
        <w:rPr>
          <w:rFonts w:ascii="Times New Roman"/>
          <w:b w:val="false"/>
          <w:i w:val="false"/>
          <w:color w:val="000000"/>
          <w:sz w:val="28"/>
        </w:rPr>
        <w:t>
      интернет-портал арқылы келіп түскен ашық деректерді жариялау немесе өзектендіру туралы сұрау салулар саны;</w:t>
      </w:r>
    </w:p>
    <w:bookmarkEnd w:id="32"/>
    <w:bookmarkStart w:name="z38" w:id="33"/>
    <w:p>
      <w:pPr>
        <w:spacing w:after="0"/>
        <w:ind w:left="0"/>
        <w:jc w:val="both"/>
      </w:pPr>
      <w:r>
        <w:rPr>
          <w:rFonts w:ascii="Times New Roman"/>
          <w:b w:val="false"/>
          <w:i w:val="false"/>
          <w:color w:val="000000"/>
          <w:sz w:val="28"/>
        </w:rPr>
        <w:t>
      "Атамекен" Қазақстан Республикасының Ұлттық кәсіпкерлер палатасының жолданымдары;</w:t>
      </w:r>
    </w:p>
    <w:bookmarkEnd w:id="33"/>
    <w:bookmarkStart w:name="z39" w:id="34"/>
    <w:p>
      <w:pPr>
        <w:spacing w:after="0"/>
        <w:ind w:left="0"/>
        <w:jc w:val="both"/>
      </w:pPr>
      <w:r>
        <w:rPr>
          <w:rFonts w:ascii="Times New Roman"/>
          <w:b w:val="false"/>
          <w:i w:val="false"/>
          <w:color w:val="000000"/>
          <w:sz w:val="28"/>
        </w:rPr>
        <w:t>
      халық пен бизнес арасында жүргізілген зерттеулердің, талдаулардың және ресми сауалнамалардың нәтижелері қамтылған;</w:t>
      </w:r>
    </w:p>
    <w:bookmarkEnd w:id="34"/>
    <w:bookmarkStart w:name="z40" w:id="35"/>
    <w:p>
      <w:pPr>
        <w:spacing w:after="0"/>
        <w:ind w:left="0"/>
        <w:jc w:val="both"/>
      </w:pPr>
      <w:r>
        <w:rPr>
          <w:rFonts w:ascii="Times New Roman"/>
          <w:b w:val="false"/>
          <w:i w:val="false"/>
          <w:color w:val="000000"/>
          <w:sz w:val="28"/>
        </w:rPr>
        <w:t>
      3) ашық деректер форматында жариялау үшін деректердің жоғары дайындық дәрежесі бар;</w:t>
      </w:r>
    </w:p>
    <w:bookmarkEnd w:id="35"/>
    <w:bookmarkStart w:name="z41" w:id="36"/>
    <w:p>
      <w:pPr>
        <w:spacing w:after="0"/>
        <w:ind w:left="0"/>
        <w:jc w:val="both"/>
      </w:pPr>
      <w:r>
        <w:rPr>
          <w:rFonts w:ascii="Times New Roman"/>
          <w:b w:val="false"/>
          <w:i w:val="false"/>
          <w:color w:val="000000"/>
          <w:sz w:val="28"/>
        </w:rPr>
        <w:t>
      4) деректер қазірдің өзінде жарияланады, бірақ машинада оқуға болмайды.</w:t>
      </w:r>
    </w:p>
    <w:bookmarkEnd w:id="36"/>
    <w:bookmarkStart w:name="z42" w:id="37"/>
    <w:p>
      <w:pPr>
        <w:spacing w:after="0"/>
        <w:ind w:left="0"/>
        <w:jc w:val="both"/>
      </w:pPr>
      <w:r>
        <w:rPr>
          <w:rFonts w:ascii="Times New Roman"/>
          <w:b w:val="false"/>
          <w:i w:val="false"/>
          <w:color w:val="000000"/>
          <w:sz w:val="28"/>
        </w:rPr>
        <w:t>
      Деректерге талдауды жүргізу барысында архитектуралық-үйлестіруші орталық интернет-портал пайдаланушыларының ашық деректерді жариялауға және өзектендіруге келіп түскен өтінімдерін талдайды, сондай-ақ "Атамекен" Қазақстан Республикасы Ұлттық кәсіпкерлер палатасының атына тиісті сұрау салу жіберу арқылы бизнестің қажеттіліктерін айқындайды.</w:t>
      </w:r>
    </w:p>
    <w:bookmarkEnd w:id="37"/>
    <w:bookmarkStart w:name="z43" w:id="38"/>
    <w:p>
      <w:pPr>
        <w:spacing w:after="0"/>
        <w:ind w:left="0"/>
        <w:jc w:val="both"/>
      </w:pPr>
      <w:r>
        <w:rPr>
          <w:rFonts w:ascii="Times New Roman"/>
          <w:b w:val="false"/>
          <w:i w:val="false"/>
          <w:color w:val="000000"/>
          <w:sz w:val="28"/>
        </w:rPr>
        <w:t>
      8. Архитектуралық-үйлестіруші орталық әзірленген паспорттардың жобаларын мемлекеттік органға олар жасалған күннен бастап 10 (он) күнтізбелік күні ішінде келісуге жолдайды.</w:t>
      </w:r>
    </w:p>
    <w:bookmarkEnd w:id="38"/>
    <w:bookmarkStart w:name="z44" w:id="39"/>
    <w:p>
      <w:pPr>
        <w:spacing w:after="0"/>
        <w:ind w:left="0"/>
        <w:jc w:val="both"/>
      </w:pPr>
      <w:r>
        <w:rPr>
          <w:rFonts w:ascii="Times New Roman"/>
          <w:b w:val="false"/>
          <w:i w:val="false"/>
          <w:color w:val="000000"/>
          <w:sz w:val="28"/>
        </w:rPr>
        <w:t>
      9. Жүргізілген талдау нәтижелерін архитектуралық-үйлестіруші орталық кейіннен Комиссияның отырысына шығару үшін алынған күннен бастап 2 (екі) жұмыс күні ішінде уәкілетті органға және ақпаратқа қол жеткізу саласындағы уәкілетті органға жолдайды.</w:t>
      </w:r>
    </w:p>
    <w:bookmarkEnd w:id="39"/>
    <w:bookmarkStart w:name="z45" w:id="40"/>
    <w:p>
      <w:pPr>
        <w:spacing w:after="0"/>
        <w:ind w:left="0"/>
        <w:jc w:val="both"/>
      </w:pPr>
      <w:r>
        <w:rPr>
          <w:rFonts w:ascii="Times New Roman"/>
          <w:b w:val="false"/>
          <w:i w:val="false"/>
          <w:color w:val="000000"/>
          <w:sz w:val="28"/>
        </w:rPr>
        <w:t>
      10. Комиссия ақпаратқа қол жеткізу саласындағы қоғамдық мүдделерді және ақпаратты пайдаланушылардың қажеттіліктерін ескере отырып, паспорттардың жобаларына ұсыным береді.</w:t>
      </w:r>
    </w:p>
    <w:bookmarkEnd w:id="40"/>
    <w:bookmarkStart w:name="z46" w:id="41"/>
    <w:p>
      <w:pPr>
        <w:spacing w:after="0"/>
        <w:ind w:left="0"/>
        <w:jc w:val="both"/>
      </w:pPr>
      <w:r>
        <w:rPr>
          <w:rFonts w:ascii="Times New Roman"/>
          <w:b w:val="false"/>
          <w:i w:val="false"/>
          <w:color w:val="000000"/>
          <w:sz w:val="28"/>
        </w:rPr>
        <w:t>
      Комиссия мүшелерінің паспорт жобаларына ұсыныстары болған жағдайда, архитектуралық-үйлестіруші орталық ұсыныстарды алған күннен бастап екі жұмыс күні ішінде оларды тиісті мемлекеттік органдарға жолдайды.</w:t>
      </w:r>
    </w:p>
    <w:bookmarkEnd w:id="41"/>
    <w:bookmarkStart w:name="z47" w:id="42"/>
    <w:p>
      <w:pPr>
        <w:spacing w:after="0"/>
        <w:ind w:left="0"/>
        <w:jc w:val="both"/>
      </w:pPr>
      <w:r>
        <w:rPr>
          <w:rFonts w:ascii="Times New Roman"/>
          <w:b w:val="false"/>
          <w:i w:val="false"/>
          <w:color w:val="000000"/>
          <w:sz w:val="28"/>
        </w:rPr>
        <w:t>
      Мемлекеттік органдар келіп түскен ұсыныстарды қарауға және оларды алған күннен бастап бес жұмыс күнінен кешіктірмей ақпаратқа қол жеткізу саласындағы уәкілетті органға ұсыныстарды қабылдау немесе қабылдамау туралы дәлелді жауап жолдауға міндетті.</w:t>
      </w:r>
    </w:p>
    <w:bookmarkEnd w:id="42"/>
    <w:bookmarkStart w:name="z48" w:id="43"/>
    <w:p>
      <w:pPr>
        <w:spacing w:after="0"/>
        <w:ind w:left="0"/>
        <w:jc w:val="both"/>
      </w:pPr>
      <w:r>
        <w:rPr>
          <w:rFonts w:ascii="Times New Roman"/>
          <w:b w:val="false"/>
          <w:i w:val="false"/>
          <w:color w:val="000000"/>
          <w:sz w:val="28"/>
        </w:rPr>
        <w:t>
      11. Паспорттардың жобаларын мемлекеттік органдар бекітеді және ашық деректер жиынтығы интернет-порталда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 xml:space="preserve">цифрлық даму министрдің </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14 шілдедегі</w:t>
            </w:r>
            <w:r>
              <w:br/>
            </w:r>
            <w:r>
              <w:rPr>
                <w:rFonts w:ascii="Times New Roman"/>
                <w:b w:val="false"/>
                <w:i w:val="false"/>
                <w:color w:val="000000"/>
                <w:sz w:val="20"/>
              </w:rPr>
              <w:t>№ 411/НҚ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объектілерінде</w:t>
            </w:r>
            <w:r>
              <w:br/>
            </w:r>
            <w:r>
              <w:rPr>
                <w:rFonts w:ascii="Times New Roman"/>
                <w:b w:val="false"/>
                <w:i w:val="false"/>
                <w:color w:val="000000"/>
                <w:sz w:val="20"/>
              </w:rPr>
              <w:t>қамтылған қол жеткізу</w:t>
            </w:r>
            <w:r>
              <w:br/>
            </w:r>
            <w:r>
              <w:rPr>
                <w:rFonts w:ascii="Times New Roman"/>
                <w:b w:val="false"/>
                <w:i w:val="false"/>
                <w:color w:val="000000"/>
                <w:sz w:val="20"/>
              </w:rPr>
              <w:t xml:space="preserve">шектелген ақпаратты </w:t>
            </w:r>
            <w:r>
              <w:br/>
            </w:r>
            <w:r>
              <w:rPr>
                <w:rFonts w:ascii="Times New Roman"/>
                <w:b w:val="false"/>
                <w:i w:val="false"/>
                <w:color w:val="000000"/>
                <w:sz w:val="20"/>
              </w:rPr>
              <w:t>қоспағанда, деректерге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51" w:id="44"/>
    <w:p>
      <w:pPr>
        <w:spacing w:after="0"/>
        <w:ind w:left="0"/>
        <w:jc w:val="left"/>
      </w:pPr>
      <w:r>
        <w:rPr>
          <w:rFonts w:ascii="Times New Roman"/>
          <w:b/>
          <w:i w:val="false"/>
          <w:color w:val="000000"/>
        </w:rPr>
        <w:t xml:space="preserve"> Цифрлық жүйелердің тізбесі және цифрлық жүйелер туралы мәліметтер</w:t>
      </w:r>
    </w:p>
    <w:bookmarkEnd w:id="44"/>
    <w:bookmarkStart w:name="z52" w:id="45"/>
    <w:p>
      <w:pPr>
        <w:spacing w:after="0"/>
        <w:ind w:left="0"/>
        <w:jc w:val="both"/>
      </w:pPr>
      <w:r>
        <w:rPr>
          <w:rFonts w:ascii="Times New Roman"/>
          <w:b w:val="false"/>
          <w:i w:val="false"/>
          <w:color w:val="000000"/>
          <w:sz w:val="28"/>
        </w:rPr>
        <w:t>
      Цифрлық жүйелердің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6"/>
    <w:p>
      <w:pPr>
        <w:spacing w:after="0"/>
        <w:ind w:left="0"/>
        <w:jc w:val="both"/>
      </w:pPr>
      <w:r>
        <w:rPr>
          <w:rFonts w:ascii="Times New Roman"/>
          <w:b w:val="false"/>
          <w:i w:val="false"/>
          <w:color w:val="000000"/>
          <w:sz w:val="28"/>
        </w:rPr>
        <w:t>
      Цифрлық жүйелер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органдардың цифрлық жүйелерінің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 xml:space="preserve">цифрлық даму министрдің </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14 шілдедегі</w:t>
            </w:r>
            <w:r>
              <w:br/>
            </w:r>
            <w:r>
              <w:rPr>
                <w:rFonts w:ascii="Times New Roman"/>
                <w:b w:val="false"/>
                <w:i w:val="false"/>
                <w:color w:val="000000"/>
                <w:sz w:val="20"/>
              </w:rPr>
              <w:t>№ 411/НҚ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объектілерінде</w:t>
            </w:r>
            <w:r>
              <w:br/>
            </w:r>
            <w:r>
              <w:rPr>
                <w:rFonts w:ascii="Times New Roman"/>
                <w:b w:val="false"/>
                <w:i w:val="false"/>
                <w:color w:val="000000"/>
                <w:sz w:val="20"/>
              </w:rPr>
              <w:t>қамтылған қол жеткізу</w:t>
            </w:r>
            <w:r>
              <w:br/>
            </w:r>
            <w:r>
              <w:rPr>
                <w:rFonts w:ascii="Times New Roman"/>
                <w:b w:val="false"/>
                <w:i w:val="false"/>
                <w:color w:val="000000"/>
                <w:sz w:val="20"/>
              </w:rPr>
              <w:t>шектелген ақпаратты қоспағанда, деректерге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56" w:id="47"/>
    <w:p>
      <w:pPr>
        <w:spacing w:after="0"/>
        <w:ind w:left="0"/>
        <w:jc w:val="left"/>
      </w:pPr>
      <w:r>
        <w:rPr>
          <w:rFonts w:ascii="Times New Roman"/>
          <w:b/>
          <w:i w:val="false"/>
          <w:color w:val="000000"/>
        </w:rPr>
        <w:t xml:space="preserve"> Ашық деректер жиынтығының технологиялық паспорты</w:t>
      </w:r>
    </w:p>
    <w:bookmarkEnd w:id="47"/>
    <w:bookmarkStart w:name="z57" w:id="48"/>
    <w:p>
      <w:pPr>
        <w:spacing w:after="0"/>
        <w:ind w:left="0"/>
        <w:jc w:val="both"/>
      </w:pPr>
      <w:r>
        <w:rPr>
          <w:rFonts w:ascii="Times New Roman"/>
          <w:b w:val="false"/>
          <w:i w:val="false"/>
          <w:color w:val="000000"/>
          <w:sz w:val="28"/>
        </w:rPr>
        <w:t>
      "Жинақтың атауы"</w:t>
      </w:r>
    </w:p>
    <w:bookmarkEnd w:id="48"/>
    <w:bookmarkStart w:name="z58" w:id="49"/>
    <w:p>
      <w:pPr>
        <w:spacing w:after="0"/>
        <w:ind w:left="0"/>
        <w:jc w:val="both"/>
      </w:pPr>
      <w:r>
        <w:rPr>
          <w:rFonts w:ascii="Times New Roman"/>
          <w:b w:val="false"/>
          <w:i w:val="false"/>
          <w:color w:val="000000"/>
          <w:sz w:val="28"/>
        </w:rPr>
        <w:t>
      (Дереккөздің атауы)</w:t>
      </w:r>
    </w:p>
    <w:bookmarkEnd w:id="49"/>
    <w:bookmarkStart w:name="z59" w:id="50"/>
    <w:p>
      <w:pPr>
        <w:spacing w:after="0"/>
        <w:ind w:left="0"/>
        <w:jc w:val="both"/>
      </w:pPr>
      <w:r>
        <w:rPr>
          <w:rFonts w:ascii="Times New Roman"/>
          <w:b w:val="false"/>
          <w:i w:val="false"/>
          <w:color w:val="000000"/>
          <w:sz w:val="28"/>
        </w:rPr>
        <w:t>
      Әзірлеу қаласының атауы, әзірлеу жылы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бөлім</w:t>
            </w:r>
          </w:p>
          <w:p>
            <w:pPr>
              <w:spacing w:after="20"/>
              <w:ind w:left="20"/>
              <w:jc w:val="both"/>
            </w:pPr>
            <w:r>
              <w:rPr>
                <w:rFonts w:ascii="Times New Roman"/>
                <w:b w:val="false"/>
                <w:i w:val="false"/>
                <w:color w:val="000000"/>
                <w:sz w:val="20"/>
              </w:rPr>
              <w:t>
</w:t>
            </w:r>
            <w:r>
              <w:rPr>
                <w:rFonts w:ascii="Times New Roman"/>
                <w:b/>
                <w:i w:val="false"/>
                <w:color w:val="000000"/>
                <w:sz w:val="20"/>
              </w:rPr>
              <w:t>1.1 Негізгі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1.1.1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2 Қысқартылған атауы:</w:t>
            </w:r>
          </w:p>
          <w:p>
            <w:pPr>
              <w:spacing w:after="20"/>
              <w:ind w:left="20"/>
              <w:jc w:val="both"/>
            </w:pPr>
            <w:r>
              <w:rPr>
                <w:rFonts w:ascii="Times New Roman"/>
                <w:b w:val="false"/>
                <w:i w:val="false"/>
                <w:color w:val="000000"/>
                <w:sz w:val="20"/>
              </w:rPr>
              <w:t>
</w:t>
            </w:r>
            <w:r>
              <w:rPr>
                <w:rFonts w:ascii="Times New Roman"/>
                <w:b/>
                <w:i w:val="false"/>
                <w:color w:val="000000"/>
                <w:sz w:val="20"/>
              </w:rPr>
              <w:t>1.1.3 Категория:</w:t>
            </w:r>
          </w:p>
          <w:p>
            <w:pPr>
              <w:spacing w:after="20"/>
              <w:ind w:left="20"/>
              <w:jc w:val="both"/>
            </w:pPr>
            <w:r>
              <w:rPr>
                <w:rFonts w:ascii="Times New Roman"/>
                <w:b w:val="false"/>
                <w:i w:val="false"/>
                <w:color w:val="000000"/>
                <w:sz w:val="20"/>
              </w:rPr>
              <w:t>
</w:t>
            </w:r>
            <w:r>
              <w:rPr>
                <w:rFonts w:ascii="Times New Roman"/>
                <w:b/>
                <w:i w:val="false"/>
                <w:color w:val="000000"/>
                <w:sz w:val="20"/>
              </w:rPr>
              <w:t>1.1.4 Ақпарат жеткізуші:</w:t>
            </w:r>
          </w:p>
          <w:p>
            <w:pPr>
              <w:spacing w:after="20"/>
              <w:ind w:left="20"/>
              <w:jc w:val="both"/>
            </w:pPr>
            <w:r>
              <w:rPr>
                <w:rFonts w:ascii="Times New Roman"/>
                <w:b w:val="false"/>
                <w:i w:val="false"/>
                <w:color w:val="000000"/>
                <w:sz w:val="20"/>
              </w:rPr>
              <w:t>
</w:t>
            </w:r>
            <w:r>
              <w:rPr>
                <w:rFonts w:ascii="Times New Roman"/>
                <w:b/>
                <w:i w:val="false"/>
                <w:color w:val="000000"/>
                <w:sz w:val="20"/>
              </w:rPr>
              <w:t>1.1.5 Қысқаша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1.1.6 Түйін сөздер:</w:t>
            </w:r>
          </w:p>
          <w:p>
            <w:pPr>
              <w:spacing w:after="20"/>
              <w:ind w:left="20"/>
              <w:jc w:val="both"/>
            </w:pPr>
            <w:r>
              <w:rPr>
                <w:rFonts w:ascii="Times New Roman"/>
                <w:b w:val="false"/>
                <w:i w:val="false"/>
                <w:color w:val="000000"/>
                <w:sz w:val="20"/>
              </w:rPr>
              <w:t>
</w:t>
            </w:r>
            <w:r>
              <w:rPr>
                <w:rFonts w:ascii="Times New Roman"/>
                <w:b/>
                <w:i w:val="false"/>
                <w:color w:val="000000"/>
                <w:sz w:val="20"/>
              </w:rPr>
              <w:t>1.2 Деректерді өзектендіру</w:t>
            </w:r>
          </w:p>
          <w:p>
            <w:pPr>
              <w:spacing w:after="20"/>
              <w:ind w:left="20"/>
              <w:jc w:val="both"/>
            </w:pPr>
            <w:r>
              <w:rPr>
                <w:rFonts w:ascii="Times New Roman"/>
                <w:b w:val="false"/>
                <w:i w:val="false"/>
                <w:color w:val="000000"/>
                <w:sz w:val="20"/>
              </w:rPr>
              <w:t>
</w:t>
            </w:r>
            <w:r>
              <w:rPr>
                <w:rFonts w:ascii="Times New Roman"/>
                <w:b/>
                <w:i w:val="false"/>
                <w:color w:val="000000"/>
                <w:sz w:val="20"/>
              </w:rPr>
              <w:t>1.2.1 Жаңарту жиілігі:</w:t>
            </w:r>
          </w:p>
          <w:p>
            <w:pPr>
              <w:spacing w:after="20"/>
              <w:ind w:left="20"/>
              <w:jc w:val="both"/>
            </w:pPr>
            <w:r>
              <w:rPr>
                <w:rFonts w:ascii="Times New Roman"/>
                <w:b w:val="false"/>
                <w:i w:val="false"/>
                <w:color w:val="000000"/>
                <w:sz w:val="20"/>
              </w:rPr>
              <w:t>
</w:t>
            </w:r>
            <w:r>
              <w:rPr>
                <w:rFonts w:ascii="Times New Roman"/>
                <w:b/>
                <w:i w:val="false"/>
                <w:color w:val="000000"/>
                <w:sz w:val="20"/>
              </w:rPr>
              <w:t>1.3 Геобайланыс</w:t>
            </w:r>
          </w:p>
          <w:p>
            <w:pPr>
              <w:spacing w:after="20"/>
              <w:ind w:left="20"/>
              <w:jc w:val="both"/>
            </w:pPr>
            <w:r>
              <w:rPr>
                <w:rFonts w:ascii="Times New Roman"/>
                <w:b w:val="false"/>
                <w:i w:val="false"/>
                <w:color w:val="000000"/>
                <w:sz w:val="20"/>
              </w:rPr>
              <w:t>
</w:t>
            </w:r>
            <w:r>
              <w:rPr>
                <w:rFonts w:ascii="Times New Roman"/>
                <w:b/>
                <w:i w:val="false"/>
                <w:color w:val="000000"/>
                <w:sz w:val="20"/>
              </w:rPr>
              <w:t>1.3.1 Геобайланыстың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1.3.2 Геометрия типі:</w:t>
            </w:r>
          </w:p>
          <w:p>
            <w:pPr>
              <w:spacing w:after="20"/>
              <w:ind w:left="20"/>
              <w:jc w:val="both"/>
            </w:pPr>
            <w:r>
              <w:rPr>
                <w:rFonts w:ascii="Times New Roman"/>
                <w:b w:val="false"/>
                <w:i w:val="false"/>
                <w:color w:val="000000"/>
                <w:sz w:val="20"/>
              </w:rPr>
              <w:t>
</w:t>
            </w:r>
            <w:r>
              <w:rPr>
                <w:rFonts w:ascii="Times New Roman"/>
                <w:b/>
                <w:i w:val="false"/>
                <w:color w:val="000000"/>
                <w:sz w:val="20"/>
              </w:rPr>
              <w:t>1.3.3 Геобайланыс типі:</w:t>
            </w:r>
          </w:p>
          <w:p>
            <w:pPr>
              <w:spacing w:after="20"/>
              <w:ind w:left="20"/>
              <w:jc w:val="both"/>
            </w:pPr>
            <w:r>
              <w:rPr>
                <w:rFonts w:ascii="Times New Roman"/>
                <w:b w:val="false"/>
                <w:i w:val="false"/>
                <w:color w:val="000000"/>
                <w:sz w:val="20"/>
              </w:rPr>
              <w:t>
</w:t>
            </w:r>
            <w:r>
              <w:rPr>
                <w:rFonts w:ascii="Times New Roman"/>
                <w:b/>
                <w:i w:val="false"/>
                <w:color w:val="000000"/>
                <w:sz w:val="20"/>
              </w:rPr>
              <w:t>1.3.4 Адрес сақталатын атрибуттың технологиялық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Құрылымның сипаттамасы</w:t>
            </w:r>
          </w:p>
          <w:p>
            <w:pPr>
              <w:spacing w:after="20"/>
              <w:ind w:left="20"/>
              <w:jc w:val="both"/>
            </w:pPr>
            <w:r>
              <w:rPr>
                <w:rFonts w:ascii="Times New Roman"/>
                <w:b w:val="false"/>
                <w:i w:val="false"/>
                <w:color w:val="000000"/>
                <w:sz w:val="20"/>
              </w:rPr>
              <w:t>
2.1 Атрибуттар тізбесі және олардың негізгі қасиеттері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реттік/тармақ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технологиялық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атрибут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2.2 Атрибуттардың мәндеріне қойылатын қосымша (арнайы) талаптар</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реттік\тармақ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технологиялық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Атрибуттардың мәндеріне қойылатын қосымша (арнайы)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Жазбаларды бақылау мысалдары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