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df57" w14:textId="0bdd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министрінің 2020 жылғы 13 қазандағы № 386/НҚ "Интернетке қол жеткізудің бірыңғай шлюзінің және "электрондық үкіметтің" электрондық поштасының бірыңғай шлюзінің жұмыс істеу қағидаларын бекіту туралы"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23 маусымдағы № 346/НҚ бұйрығы. Қазақстан Республикасының Әділет министрлігінде 2026 жылғы 26 маусымда № 39092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12.07.20256ж.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министрінің 2020 жылғы 13 қазандағы № 386/НҚ "Интернетке қол жеткізудің бірыңғай шлюзінің және "электрондық үкіметтің" электрондық поштасының бірыңғай шлюзінің жұмыс істеу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21436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"Интернетке қол жеткізудің бірыңғай шлюзінің және "цифрлық үкіметтің" электрондық поштасының бірыңғай шлюзінің жұмыс істеу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"Қазақстан Республикасының "Киберқауіпсіздік туралы" Заңының 7-1-бабының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 Жасанды интеллект және цифрлық даму министрлігі туралы ереженің 15-тармағының 345)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13" w:id="4"/>
    <w:p>
      <w:pPr>
        <w:spacing w:after="0"/>
        <w:ind w:left="0"/>
        <w:jc w:val="both"/>
      </w:pPr>
      <w:r>
        <w:rPr>
          <w:rFonts w:ascii="Times New Roman"/>
          <w:b w:val="false"/>
          <w:i w:val="false"/>
          <w:color w:val="000000"/>
          <w:sz w:val="28"/>
        </w:rPr>
        <w:t>
      "2) осы бұйрыққа 2-қосымшаға сәйкес "цифрлық үкіметтің" электрондық поштасының бірыңғай шлюзінің жұмыс істеу қағидалары.";</w:t>
      </w:r>
    </w:p>
    <w:bookmarkEnd w:id="4"/>
    <w:bookmarkStart w:name="z14" w:id="5"/>
    <w:p>
      <w:pPr>
        <w:spacing w:after="0"/>
        <w:ind w:left="0"/>
        <w:jc w:val="both"/>
      </w:pPr>
      <w:r>
        <w:rPr>
          <w:rFonts w:ascii="Times New Roman"/>
          <w:b w:val="false"/>
          <w:i w:val="false"/>
          <w:color w:val="000000"/>
          <w:sz w:val="28"/>
        </w:rPr>
        <w:t xml:space="preserve">
      көрсетілген бұйрықпен бекітілген Интернетке қол жеткізудің бірыңғай шлюзінің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xml:space="preserve">
      "1. Осы Интернетке қол жеткізудің бірыңғай шлюзінің жұмыс істеу қағидалары (бұдан әрі – Қағидалар) Қазақстан Республикасының "Киберқауіпсіздік туралы" Заңының (бұдан әрі – Заң) 7-1-бабының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 Жасанды интеллект және цифрлық даму министрлігі туралы ереженің 15-тармағының </w:t>
      </w:r>
      <w:r>
        <w:rPr>
          <w:rFonts w:ascii="Times New Roman"/>
          <w:b w:val="false"/>
          <w:i w:val="false"/>
          <w:color w:val="000000"/>
          <w:sz w:val="28"/>
        </w:rPr>
        <w:t>345) тармақшасына</w:t>
      </w:r>
      <w:r>
        <w:rPr>
          <w:rFonts w:ascii="Times New Roman"/>
          <w:b w:val="false"/>
          <w:i w:val="false"/>
          <w:color w:val="000000"/>
          <w:sz w:val="28"/>
        </w:rPr>
        <w:t xml:space="preserve"> сәйкес әзірленді және Интернетке қол жеткізудің бірыңғай шлюзінің (бұдан әрі – ИҚБШ) жұмыс істеу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8" w:id="7"/>
    <w:p>
      <w:pPr>
        <w:spacing w:after="0"/>
        <w:ind w:left="0"/>
        <w:jc w:val="both"/>
      </w:pPr>
      <w:r>
        <w:rPr>
          <w:rFonts w:ascii="Times New Roman"/>
          <w:b w:val="false"/>
          <w:i w:val="false"/>
          <w:color w:val="000000"/>
          <w:sz w:val="28"/>
        </w:rPr>
        <w:t>
      "2. Мемлекеттік органдардың, жергілікті өзін-өзі басқару органдарының, мемлекеттік заңды тұлғалардың, квазимемлекеттік сектор субъектілерінің, сондай-ақ аса маңызды цифрлық объектілер меншік иелерінің немесе иеленушілерінің жергілікті, ведомстволық және корпоративтік телекоммуникациялар желілерін Интернетке қосуын байланыс операторлары ИҚБШ арқылы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бірінші абзац және 1) тармақша мынадай редакцияда жазылсын:</w:t>
      </w:r>
    </w:p>
    <w:bookmarkEnd w:id="8"/>
    <w:bookmarkStart w:name="z2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терминдер мен анықтамалар пайдаланылады:</w:t>
      </w:r>
    </w:p>
    <w:bookmarkEnd w:id="9"/>
    <w:bookmarkStart w:name="z22" w:id="10"/>
    <w:p>
      <w:pPr>
        <w:spacing w:after="0"/>
        <w:ind w:left="0"/>
        <w:jc w:val="both"/>
      </w:pPr>
      <w:r>
        <w:rPr>
          <w:rFonts w:ascii="Times New Roman"/>
          <w:b w:val="false"/>
          <w:i w:val="false"/>
          <w:color w:val="000000"/>
          <w:sz w:val="28"/>
        </w:rPr>
        <w:t>
      1) киберқауіпсіздік инциденті – цифрлық объектінің киберқауіпсіздігіне теріс әсер ететін оқиға немесе оқиғалар жиынтығы;";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"7) ИҚБШ пайдаланушысы (бұдан әрі – Пайдаланушы) – жергілікті, ведомстволық және корпоративтік телекоммуникациялар желілерін Интернетке ИҚБШ арқылы қосуы бар мемлекеттік орган, жергілікті өзін-өзі басқару органы, мемлекеттік заңды тұлға, квазимемлекеттік сектор субъектісі, аса маңызды цифрлық объектілердің меншік иесі немесе иеленушісі;";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"9) телекоммуникация желісі – коммутациялық жабдықтан (станциялардан, кіші станциялардан, концентраторлардан), жол-кабельдік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"4. Мемлекеттік техникалық қызмет" акционерлік қоғамы (бұдан әрі – МТҚ) ИҚБШ-ны сүйемелдеуді жүзеге асырады, оның жұмысының үздіксіздігін қамтамасыз етеді.</w:t>
      </w:r>
    </w:p>
    <w:bookmarkEnd w:id="13"/>
    <w:bookmarkStart w:name="z29" w:id="14"/>
    <w:p>
      <w:pPr>
        <w:spacing w:after="0"/>
        <w:ind w:left="0"/>
        <w:jc w:val="both"/>
      </w:pPr>
      <w:r>
        <w:rPr>
          <w:rFonts w:ascii="Times New Roman"/>
          <w:b w:val="false"/>
          <w:i w:val="false"/>
          <w:color w:val="000000"/>
          <w:sz w:val="28"/>
        </w:rPr>
        <w:t xml:space="preserve">
      ИҚБШ-ға қосылу үшін байланыс операторы мен Пайдаланушы арасында жасалған шарт негіз болып табылады. </w:t>
      </w:r>
    </w:p>
    <w:bookmarkEnd w:id="14"/>
    <w:bookmarkStart w:name="z30" w:id="15"/>
    <w:p>
      <w:pPr>
        <w:spacing w:after="0"/>
        <w:ind w:left="0"/>
        <w:jc w:val="both"/>
      </w:pPr>
      <w:r>
        <w:rPr>
          <w:rFonts w:ascii="Times New Roman"/>
          <w:b w:val="false"/>
          <w:i w:val="false"/>
          <w:color w:val="000000"/>
          <w:sz w:val="28"/>
        </w:rPr>
        <w:t>
      Пайдаланушылар ИҚБШ-ға қосылғаннан кейін байланыс операторлары олармен ИҚБШ арқылы Интернетке қол жеткізу мәселелері бойынша бастапқы консультация өткізеді, кейінгі консультацияларды МТҚ жүргізеді.";</w:t>
      </w:r>
    </w:p>
    <w:bookmarkEnd w:id="15"/>
    <w:bookmarkStart w:name="z31" w:id="16"/>
    <w:p>
      <w:pPr>
        <w:spacing w:after="0"/>
        <w:ind w:left="0"/>
        <w:jc w:val="both"/>
      </w:pPr>
      <w:r>
        <w:rPr>
          <w:rFonts w:ascii="Times New Roman"/>
          <w:b w:val="false"/>
          <w:i w:val="false"/>
          <w:color w:val="000000"/>
          <w:sz w:val="28"/>
        </w:rPr>
        <w:t>
      мынадай мазмұндағы 12-1-тармақпен толықтырылсын:</w:t>
      </w:r>
    </w:p>
    <w:bookmarkEnd w:id="16"/>
    <w:bookmarkStart w:name="z32" w:id="17"/>
    <w:p>
      <w:pPr>
        <w:spacing w:after="0"/>
        <w:ind w:left="0"/>
        <w:jc w:val="both"/>
      </w:pPr>
      <w:r>
        <w:rPr>
          <w:rFonts w:ascii="Times New Roman"/>
          <w:b w:val="false"/>
          <w:i w:val="false"/>
          <w:color w:val="000000"/>
          <w:sz w:val="28"/>
        </w:rPr>
        <w:t>
      "12-1. Байланыс операторлары кемінде жарты жылда бір рет СОЗ арқылы ИҚБШ арқылы Интернетке қол жеткізу мәселелері бойынша ұйымдастырушылық іс-шараларды жүргізетін жауапты тұлғалардың тізімін (олардың ұялы байланыс абоненттік нөмірлерін, электрондық мекенжайларын көрсете отырып) қалыптастырады.</w:t>
      </w:r>
    </w:p>
    <w:bookmarkEnd w:id="17"/>
    <w:bookmarkStart w:name="z33" w:id="18"/>
    <w:p>
      <w:pPr>
        <w:spacing w:after="0"/>
        <w:ind w:left="0"/>
        <w:jc w:val="both"/>
      </w:pPr>
      <w:r>
        <w:rPr>
          <w:rFonts w:ascii="Times New Roman"/>
          <w:b w:val="false"/>
          <w:i w:val="false"/>
          <w:color w:val="000000"/>
          <w:sz w:val="28"/>
        </w:rPr>
        <w:t>
      МТҚ сұрау салуы бойынша байланыс операторлары бір жұмыс күні ішінде жауапты тұлғаны айқындайды және бірлескен техникалық іс-шараларды өткізу үшін МТҚ-ға оның байланыс деректерін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35" w:id="19"/>
    <w:p>
      <w:pPr>
        <w:spacing w:after="0"/>
        <w:ind w:left="0"/>
        <w:jc w:val="both"/>
      </w:pPr>
      <w:r>
        <w:rPr>
          <w:rFonts w:ascii="Times New Roman"/>
          <w:b w:val="false"/>
          <w:i w:val="false"/>
          <w:color w:val="000000"/>
          <w:sz w:val="28"/>
        </w:rPr>
        <w:t>
      "15. Пайдаланушы жылына кемінде бір рет МТҚ-ға Қазақстан Республикасы Үкіметінің 2016 жылғы 20 желтоқсандағы №832 қаулысымен бекітілген Цифрландыру және киберқауіпсіздікті қамтамасыз ету салаларындағы бірыңғай талаптарға сәйкес ИҚБШ жабдығында қолдану үшін ИР санаттарының тізімін және пайдаланушының телекоммуникация желілерінің желілік мекенжайларының тізімін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"15-2. Пайдаланушының ИР санаттарының тізімі және телекоммуникациялар желілерінің желілік мекенжайлары негізінде ИҚБШ жабдығында Интернетке қажетті қолжетімділікті ашуға, сондай-ақ Пайдаланушы үшін киберқауіпсіздік қатерлері мен тәуекелдерін төндіретін жеке виртуалды желілерді (VPN) және өзге де желілік сервистерді пайдалануға байланысты сұрау салулары заңды тұлғаның электрондық цифрлық қолтаңбасымен қол қойылған өтінімді СОЗ арқылы МТҚ-ға жіберу жолымен ресімделеді.";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"19. Пайдаланушы ИР пайдалануды тоқтатқан немесе ИР туралы мәліметтер өзгерген жағдайда (домендік атау, ИР IP-мекенжайы, Пайдаланушының жауапты жұмыскері, ИР техникалық сипаттамалары, ИҚБШ-ға қосуды жүзеге асыратын байланыс операторы) бес жұмыс күні ішінде МТҚ мекенжайына тиісті ресми хабарламаны немесе СОЗ арқылы ақпаратты жібереді. МТҚ ИҚБШ жабдығында қажетті ұйымдастырушылық-техникалық іс-шараларды орындайды.</w:t>
      </w:r>
    </w:p>
    <w:bookmarkEnd w:id="21"/>
    <w:bookmarkStart w:name="z40" w:id="22"/>
    <w:p>
      <w:pPr>
        <w:spacing w:after="0"/>
        <w:ind w:left="0"/>
        <w:jc w:val="both"/>
      </w:pPr>
      <w:r>
        <w:rPr>
          <w:rFonts w:ascii="Times New Roman"/>
          <w:b w:val="false"/>
          <w:i w:val="false"/>
          <w:color w:val="000000"/>
          <w:sz w:val="28"/>
        </w:rPr>
        <w:t>
      20. Зиянды контентті уақтылы анықтау және оған қол жеткізуді шектеу үшін МТҚ ИҚБШ жабдығында Пайдаланушылардың шифрланған трафигіне талдау жүргізу бойынша тиісті техникалық іс-шараларды іске асырады, мынадай ИР және желілік хаттамалар санаттарын қоспағанда:</w:t>
      </w:r>
    </w:p>
    <w:bookmarkEnd w:id="22"/>
    <w:bookmarkStart w:name="z41" w:id="23"/>
    <w:p>
      <w:pPr>
        <w:spacing w:after="0"/>
        <w:ind w:left="0"/>
        <w:jc w:val="both"/>
      </w:pPr>
      <w:r>
        <w:rPr>
          <w:rFonts w:ascii="Times New Roman"/>
          <w:b w:val="false"/>
          <w:i w:val="false"/>
          <w:color w:val="000000"/>
          <w:sz w:val="28"/>
        </w:rPr>
        <w:t>
      1) қаржы, банктер және білім беру;</w:t>
      </w:r>
    </w:p>
    <w:bookmarkEnd w:id="23"/>
    <w:bookmarkStart w:name="z42" w:id="24"/>
    <w:p>
      <w:pPr>
        <w:spacing w:after="0"/>
        <w:ind w:left="0"/>
        <w:jc w:val="both"/>
      </w:pPr>
      <w:r>
        <w:rPr>
          <w:rFonts w:ascii="Times New Roman"/>
          <w:b w:val="false"/>
          <w:i w:val="false"/>
          <w:color w:val="000000"/>
          <w:sz w:val="28"/>
        </w:rPr>
        <w:t>
      2) мемлекеттік органдар мен ұйымдар;</w:t>
      </w:r>
    </w:p>
    <w:bookmarkEnd w:id="24"/>
    <w:bookmarkStart w:name="z43" w:id="25"/>
    <w:p>
      <w:pPr>
        <w:spacing w:after="0"/>
        <w:ind w:left="0"/>
        <w:jc w:val="both"/>
      </w:pPr>
      <w:r>
        <w:rPr>
          <w:rFonts w:ascii="Times New Roman"/>
          <w:b w:val="false"/>
          <w:i w:val="false"/>
          <w:color w:val="000000"/>
          <w:sz w:val="28"/>
        </w:rPr>
        <w:t>
      3) сұлулық, денсаулық және медицина;</w:t>
      </w:r>
    </w:p>
    <w:bookmarkEnd w:id="25"/>
    <w:bookmarkStart w:name="z44" w:id="26"/>
    <w:p>
      <w:pPr>
        <w:spacing w:after="0"/>
        <w:ind w:left="0"/>
        <w:jc w:val="both"/>
      </w:pPr>
      <w:r>
        <w:rPr>
          <w:rFonts w:ascii="Times New Roman"/>
          <w:b w:val="false"/>
          <w:i w:val="false"/>
          <w:color w:val="000000"/>
          <w:sz w:val="28"/>
        </w:rPr>
        <w:t>
      4) жеке ақпарат;</w:t>
      </w:r>
    </w:p>
    <w:bookmarkEnd w:id="26"/>
    <w:bookmarkStart w:name="z45" w:id="27"/>
    <w:p>
      <w:pPr>
        <w:spacing w:after="0"/>
        <w:ind w:left="0"/>
        <w:jc w:val="both"/>
      </w:pPr>
      <w:r>
        <w:rPr>
          <w:rFonts w:ascii="Times New Roman"/>
          <w:b w:val="false"/>
          <w:i w:val="false"/>
          <w:color w:val="000000"/>
          <w:sz w:val="28"/>
        </w:rPr>
        <w:t>
      5) бейнеконференцбайланыс сервистері;</w:t>
      </w:r>
    </w:p>
    <w:bookmarkEnd w:id="27"/>
    <w:bookmarkStart w:name="z46" w:id="28"/>
    <w:p>
      <w:pPr>
        <w:spacing w:after="0"/>
        <w:ind w:left="0"/>
        <w:jc w:val="both"/>
      </w:pPr>
      <w:r>
        <w:rPr>
          <w:rFonts w:ascii="Times New Roman"/>
          <w:b w:val="false"/>
          <w:i w:val="false"/>
          <w:color w:val="000000"/>
          <w:sz w:val="28"/>
        </w:rPr>
        <w:t>
      6) ақпараттық қауіпсіздік құралдары сигнатураларын жаңарту сервистері;</w:t>
      </w:r>
    </w:p>
    <w:bookmarkEnd w:id="28"/>
    <w:bookmarkStart w:name="z47" w:id="29"/>
    <w:p>
      <w:pPr>
        <w:spacing w:after="0"/>
        <w:ind w:left="0"/>
        <w:jc w:val="both"/>
      </w:pPr>
      <w:r>
        <w:rPr>
          <w:rFonts w:ascii="Times New Roman"/>
          <w:b w:val="false"/>
          <w:i w:val="false"/>
          <w:color w:val="000000"/>
          <w:sz w:val="28"/>
        </w:rPr>
        <w:t>
      7) операциялық жүйелер мен бағдарламалық қамтылымды жаңарту сервистері;</w:t>
      </w:r>
    </w:p>
    <w:bookmarkEnd w:id="29"/>
    <w:bookmarkStart w:name="z48" w:id="30"/>
    <w:p>
      <w:pPr>
        <w:spacing w:after="0"/>
        <w:ind w:left="0"/>
        <w:jc w:val="both"/>
      </w:pPr>
      <w:r>
        <w:rPr>
          <w:rFonts w:ascii="Times New Roman"/>
          <w:b w:val="false"/>
          <w:i w:val="false"/>
          <w:color w:val="000000"/>
          <w:sz w:val="28"/>
        </w:rPr>
        <w:t>
      8) бейнебақылау және бейнетрансляция үшін пайдаланылатын желілік хаттамалар мен қосымшалар;</w:t>
      </w:r>
    </w:p>
    <w:bookmarkEnd w:id="30"/>
    <w:bookmarkStart w:name="z49" w:id="31"/>
    <w:p>
      <w:pPr>
        <w:spacing w:after="0"/>
        <w:ind w:left="0"/>
        <w:jc w:val="both"/>
      </w:pPr>
      <w:r>
        <w:rPr>
          <w:rFonts w:ascii="Times New Roman"/>
          <w:b w:val="false"/>
          <w:i w:val="false"/>
          <w:color w:val="000000"/>
          <w:sz w:val="28"/>
        </w:rPr>
        <w:t>
      9) бір немесе бірнеше ұйымдардағы желілік қауіпсіздік құрылғылары арасында деректердің байланыстылығын немесе синхрондалуын қамтамасыз ететін желілік хаттамалар;</w:t>
      </w:r>
    </w:p>
    <w:bookmarkEnd w:id="31"/>
    <w:bookmarkStart w:name="z50" w:id="32"/>
    <w:p>
      <w:pPr>
        <w:spacing w:after="0"/>
        <w:ind w:left="0"/>
        <w:jc w:val="both"/>
      </w:pPr>
      <w:r>
        <w:rPr>
          <w:rFonts w:ascii="Times New Roman"/>
          <w:b w:val="false"/>
          <w:i w:val="false"/>
          <w:color w:val="000000"/>
          <w:sz w:val="28"/>
        </w:rPr>
        <w:t>
      10) сенім деңгейі жоғары ИР.";</w:t>
      </w:r>
    </w:p>
    <w:bookmarkEnd w:id="32"/>
    <w:bookmarkStart w:name="z51" w:id="33"/>
    <w:p>
      <w:pPr>
        <w:spacing w:after="0"/>
        <w:ind w:left="0"/>
        <w:jc w:val="both"/>
      </w:pPr>
      <w:r>
        <w:rPr>
          <w:rFonts w:ascii="Times New Roman"/>
          <w:b w:val="false"/>
          <w:i w:val="false"/>
          <w:color w:val="000000"/>
          <w:sz w:val="28"/>
        </w:rPr>
        <w:t>
      көрсетілген бұйрықпен бекітілген "электрондық үкіметтің" электрондық поштасының бірыңғай шлюзінің жұмыс істеу қағидаларында: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3" w:id="34"/>
    <w:p>
      <w:pPr>
        <w:spacing w:after="0"/>
        <w:ind w:left="0"/>
        <w:jc w:val="both"/>
      </w:pPr>
      <w:r>
        <w:rPr>
          <w:rFonts w:ascii="Times New Roman"/>
          <w:b w:val="false"/>
          <w:i w:val="false"/>
          <w:color w:val="000000"/>
          <w:sz w:val="28"/>
        </w:rPr>
        <w:t>
      "цифрлық үкіметтің" электрондық поштасының бірыңғай шлюзінің жұмыс істеу қағидалары";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 w:id="35"/>
    <w:p>
      <w:pPr>
        <w:spacing w:after="0"/>
        <w:ind w:left="0"/>
        <w:jc w:val="both"/>
      </w:pPr>
      <w:r>
        <w:rPr>
          <w:rFonts w:ascii="Times New Roman"/>
          <w:b w:val="false"/>
          <w:i w:val="false"/>
          <w:color w:val="000000"/>
          <w:sz w:val="28"/>
        </w:rPr>
        <w:t xml:space="preserve">
      "1. Осы "цифрлық үкіметтің" электрондық поштасының бірыңғай шлюзінің жұмыс істеу қағидалары (бұдан әрі – Қағидалар) Қазақстан Республикасының "Киберқауіпсіздік туралы" Заңының (бұдан әрі – Заң) 7-1-бабының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"цифрлық үкіметтің" электрондық поштасының бірыңғай шлюзінің (бұдан әрі – ЭПБШ) жұмыс істеу тәртібін айқындайды.";</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7" w:id="36"/>
    <w:p>
      <w:pPr>
        <w:spacing w:after="0"/>
        <w:ind w:left="0"/>
        <w:jc w:val="both"/>
      </w:pPr>
      <w:r>
        <w:rPr>
          <w:rFonts w:ascii="Times New Roman"/>
          <w:b w:val="false"/>
          <w:i w:val="false"/>
          <w:color w:val="000000"/>
          <w:sz w:val="28"/>
        </w:rPr>
        <w:t>
      "2. Осы Қағидалар мемлекеттік органдарға, жергілікті өзін-өзі басқару органдарына, мемлекеттік заңды тұлғаларға, квазимемлекеттік сектор субъектілеріне, аса маңызды цифрлық объектілердің меншік иелеріне немесе иеленушілеріне қолданылады.";</w:t>
      </w:r>
    </w:p>
    <w:bookmarkEnd w:id="36"/>
    <w:bookmarkStart w:name="z58" w:id="3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7"/>
    <w:bookmarkStart w:name="z59" w:id="38"/>
    <w:p>
      <w:pPr>
        <w:spacing w:after="0"/>
        <w:ind w:left="0"/>
        <w:jc w:val="both"/>
      </w:pPr>
      <w:r>
        <w:rPr>
          <w:rFonts w:ascii="Times New Roman"/>
          <w:b w:val="false"/>
          <w:i w:val="false"/>
          <w:color w:val="000000"/>
          <w:sz w:val="28"/>
        </w:rPr>
        <w:t>
      "1) Өтініш беруші – Өтініш берушінің электрондық поштасын ЭПБШ-ға қосу қызметін алуға өтінім берген мемлекеттік орган, жергілікті өзін-өзі басқару органы, мемлекеттік заңды тұлға, квазимемлекеттік сектор субъектісі, аса маңызды цифрлық объектілердің меншік иесі немесе иеленушісі;</w:t>
      </w:r>
    </w:p>
    <w:bookmarkEnd w:id="38"/>
    <w:bookmarkStart w:name="z60" w:id="39"/>
    <w:p>
      <w:pPr>
        <w:spacing w:after="0"/>
        <w:ind w:left="0"/>
        <w:jc w:val="both"/>
      </w:pPr>
      <w:r>
        <w:rPr>
          <w:rFonts w:ascii="Times New Roman"/>
          <w:b w:val="false"/>
          <w:i w:val="false"/>
          <w:color w:val="000000"/>
          <w:sz w:val="28"/>
        </w:rPr>
        <w:t>
      2) ЭПБШ пайдаланушысы (бұдан әрі – Пайдаланушы) – электрондық поштасының сыртқы электрондық поштамен электрондық өзара іс-қимылы электрондық хабарламаларды ЭПБШ арқылы қайта бағыттау жолымен жүзеге асырылатын мемлекеттік орган, жергілікті өзін-өзі басқару органы, мемлекеттік заңды тұлға, квазимемлекеттік сектор субъектісі, аса маңызды цифрлық объектілердің меншік иесі немесе иеленушісі;";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2" w:id="40"/>
    <w:p>
      <w:pPr>
        <w:spacing w:after="0"/>
        <w:ind w:left="0"/>
        <w:jc w:val="both"/>
      </w:pPr>
      <w:r>
        <w:rPr>
          <w:rFonts w:ascii="Times New Roman"/>
          <w:b w:val="false"/>
          <w:i w:val="false"/>
          <w:color w:val="000000"/>
          <w:sz w:val="28"/>
        </w:rPr>
        <w:t>
      "5. "Мемлекеттік техникалық қызмет" акционерлік қоғамы (бұдан әрі – МТҚ) Заңның 14-бабы 1-тармағының 1) тармақшасына сәйкес ЭПБШ-ны сүйемелдеуді жүзеге асырады.";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4" w:id="41"/>
    <w:p>
      <w:pPr>
        <w:spacing w:after="0"/>
        <w:ind w:left="0"/>
        <w:jc w:val="both"/>
      </w:pPr>
      <w:r>
        <w:rPr>
          <w:rFonts w:ascii="Times New Roman"/>
          <w:b w:val="false"/>
          <w:i w:val="false"/>
          <w:color w:val="000000"/>
          <w:sz w:val="28"/>
        </w:rPr>
        <w:t>
      "8. МТҚ өтінім алынған күннен бастап бес жұмыс күні ішінде Өтініш берушінің мемлекеттік органға, жергілікті өзін-өзі басқару органына, мемлекеттік заңды тұлғаға, квазимемлекеттік сектор субъектісіне, аса маңызды цифрлық объектілердің меншік иесіне немесе иеленушісіне жататынын, сондай-ақ Өтініш берушінің электрондық поштасын ЭПБШ-ға қосудың техникалық мүмкіндігінің (жұмыс істеп тұрған техникалық құралдар мен байланыс құрылыстарының) бар-жоғын тексереді.";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6" w:id="42"/>
    <w:p>
      <w:pPr>
        <w:spacing w:after="0"/>
        <w:ind w:left="0"/>
        <w:jc w:val="both"/>
      </w:pPr>
      <w:r>
        <w:rPr>
          <w:rFonts w:ascii="Times New Roman"/>
          <w:b w:val="false"/>
          <w:i w:val="false"/>
          <w:color w:val="000000"/>
          <w:sz w:val="28"/>
        </w:rPr>
        <w:t>
      "11. Пайдаланушының мәртебесі аталған субъектілер санатына жатпайтын өзге мәртебеге өзгерген жағдайда, Пайдаланушы пошта жүйесін ЭПБШ-дан ажырату қажеттілігі туралы МТҚ-ны ресми хатпен хабардар етеді. МТҚ Пайдаланушымен келісілген мерзімде пошта жүйесін ЭПБШ-дан ажыратуды жүзеге асырады.".</w:t>
      </w:r>
    </w:p>
    <w:bookmarkEnd w:id="42"/>
    <w:bookmarkStart w:name="z67" w:id="4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43"/>
    <w:bookmarkStart w:name="z68" w:id="4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44"/>
    <w:bookmarkStart w:name="z69" w:id="4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5"/>
    <w:bookmarkStart w:name="z70" w:id="46"/>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бұйрық</w:t>
      </w:r>
      <w:r>
        <w:rPr>
          <w:rFonts w:ascii="Times New Roman"/>
          <w:b w:val="false"/>
          <w:i w:val="false"/>
          <w:color w:val="000000"/>
          <w:sz w:val="28"/>
        </w:rPr>
        <w:t xml:space="preserve">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6"/>
    <w:bookmarkStart w:name="z71" w:id="4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бұйрықтың</w:t>
      </w:r>
      <w:r>
        <w:rPr>
          <w:rFonts w:ascii="Times New Roman"/>
          <w:b w:val="false"/>
          <w:i w:val="false"/>
          <w:color w:val="000000"/>
          <w:sz w:val="28"/>
        </w:rPr>
        <w:t xml:space="preserve"> орындалуын бақылау Қазақстан Республикасының Жасанды интеллект және цифрлық даму вице-министрінің міндетін атқарушыға жүктелсін.</w:t>
      </w:r>
    </w:p>
    <w:bookmarkEnd w:id="47"/>
    <w:bookmarkStart w:name="z72" w:id="4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Мусалиев</w:t>
            </w:r>
            <w:r>
              <w:rPr>
                <w:rFonts w:ascii="Times New Roman"/>
                <w:b w:val="false"/>
                <w:i w:val="false"/>
                <w:color w:val="000000"/>
                <w:sz w:val="20"/>
              </w:rPr>
              <w:t>
</w:t>
            </w:r>
          </w:p>
        </w:tc>
      </w:tr>
    </w:tbl>
    <w:p>
      <w:pPr>
        <w:spacing w:after="0"/>
        <w:ind w:left="0"/>
        <w:jc w:val="both"/>
      </w:pPr>
      <w:bookmarkStart w:name="z74" w:id="49"/>
      <w:r>
        <w:rPr>
          <w:rFonts w:ascii="Times New Roman"/>
          <w:b w:val="false"/>
          <w:i w:val="false"/>
          <w:color w:val="000000"/>
          <w:sz w:val="28"/>
        </w:rPr>
        <w:t>
      "КЕЛІСІЛДІ"</w:t>
      </w:r>
    </w:p>
    <w:bookmarkEnd w:id="4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