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a3ca" w14:textId="bbea3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"Букмекерлік кеңсенің және (немесе) тотализатордың қызметін жүзеге асыратын ойын бизнесін ұйымдастырушылардың аппараттық-бағдарламалық кешендерін мемлекеттік кірістер органдарының ақпараттық жүйелерімен интеграциялау арқылы беруге жататын мәліметтердің қағидалары мен тізбесін және нысанын бекіту туралы" Қазақстан Республикасы Қаржылық мониторинг агенттігі Төрағасының 2024 жылғы 6 желтоқсандағы № 9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2026 жылғы 1 маусымдағы № 11 бұйрығы. Қазақстан Республикасының Әділет министрлігінде 2026 жылғы 1 маусымда № 38862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"Букмекерлік кеңсенің және (немесе) тотализатордың қызметін жүзеге асыратын ойын бизнесін ұйымдастырушылардың аппараттық-бағдарламалық кешендерін мемлекеттік кірістер органдарының ақпараттық жүйелерімен интеграциялау арқылы беруге жататын мәліметтердің қағидалары мен тізбесін және нысанын бекіту туралы" Қазақстан Республикасы Қаржылық мониторингі агенттігі Төрағасының 2024 жылғы 6 желтоқсандағы </w:t>
      </w:r>
      <w:r>
        <w:rPr>
          <w:rFonts w:ascii="Times New Roman"/>
          <w:b w:val="false"/>
          <w:i w:val="false"/>
          <w:color w:val="000000"/>
          <w:sz w:val="28"/>
        </w:rPr>
        <w:t>№ 9 бұйрығына</w:t>
      </w:r>
      <w:r>
        <w:rPr>
          <w:rFonts w:ascii="Times New Roman"/>
          <w:b w:val="false"/>
          <w:i w:val="false"/>
          <w:color w:val="000000"/>
          <w:sz w:val="28"/>
        </w:rPr>
        <w:t xml:space="preserve"> (Нормативтік құқықтық актілерді мемлекеттік тіркеу тізілімінде № 35455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"Букмекерлік кеңсенің және (немесе) тотализатордың қызметін жүзеге асыратын ойын бизнесін ұйымдастырушылардың аппараттық-бағдарламалық кешендерін қаржылық мониторинг жөніндегі уәкілетті органның ақпараттық жүйелерімен интеграциялау арқылы беруге жататын мәліметтерді беру қағидаларын, олардың тізбесі мен нысанын бекіту туралы"</w:t>
      </w:r>
    </w:p>
    <w:bookmarkEnd w:id="2"/>
    <w:bookmarkStart w:name="z8" w:id="3"/>
    <w:p>
      <w:pPr>
        <w:spacing w:after="0"/>
        <w:ind w:left="0"/>
        <w:jc w:val="both"/>
      </w:pPr>
      <w:r>
        <w:rPr>
          <w:rFonts w:ascii="Times New Roman"/>
          <w:b w:val="false"/>
          <w:i w:val="false"/>
          <w:color w:val="000000"/>
          <w:sz w:val="28"/>
        </w:rPr>
        <w:t xml:space="preserve">
      бұйрықтың 1 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9" w:id="4"/>
    <w:p>
      <w:pPr>
        <w:spacing w:after="0"/>
        <w:ind w:left="0"/>
        <w:jc w:val="both"/>
      </w:pPr>
      <w:r>
        <w:rPr>
          <w:rFonts w:ascii="Times New Roman"/>
          <w:b w:val="false"/>
          <w:i w:val="false"/>
          <w:color w:val="000000"/>
          <w:sz w:val="28"/>
        </w:rPr>
        <w:t>
      "Букмекерлік кеңсенің және (немесе) тотализатордың қызметін жүзеге асыратын ойын бизнесін ұйымдастырушылардың аппараттық-бағдарламалық кешендерін қаржылық мониторинг жөніндегі уәкілетті органның ақпараттық жүйелерімен интеграциялау арқылы беруге жататын мәліметтерді беру қағидалары осы бұйрықтың 1-қосымшасына сәйкес;";</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Букмекерлік кеңсенің және (немесе) тотализатордың қызметін жүзеге асыратын ойын бизнесін ұйымдастырушылардың аппараттық-бағдарламалық кешендерін қаржылық мониторинг жөніндегі уәкілетті органың ақпараттық жүйелерімен интеграциялау арқылы беруге жататын мәліметтердің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"Букмекерлік кеңсенің және (немесе) тотализатордың қызметін жүзеге асыратын ойын бизнесін ұйымдастырушылардың аппараттық-бағдарламалық кешендерін қаржылық мониторинг жөніндегі уәкілетті органның ақпараттық жүйелерімен интеграциялау арқылы беруге жататын мәліметтерді беру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xml:space="preserve">
      "1. Осы Букмекерлік кеңсенің және (немесе) тотализатордың қызметін жүзеге асыратын ойын бизнесін ұйымдастырушылардың аппараттық-бағдарламалық кешендерін қаржылық мониторинг жөніндегі уәкілетті органның ақпараттық жүйелерімен интеграциялау арқылы мәліметтерді беру қағидалары (бұдан әрі – Қағидалар) "Ойын бизнесі туралы" Қазақстан Республикасы Заңының </w:t>
      </w:r>
      <w:r>
        <w:rPr>
          <w:rFonts w:ascii="Times New Roman"/>
          <w:b w:val="false"/>
          <w:i w:val="false"/>
          <w:color w:val="000000"/>
          <w:sz w:val="28"/>
        </w:rPr>
        <w:t>12-1-бабының</w:t>
      </w:r>
      <w:r>
        <w:rPr>
          <w:rFonts w:ascii="Times New Roman"/>
          <w:b w:val="false"/>
          <w:i w:val="false"/>
          <w:color w:val="000000"/>
          <w:sz w:val="28"/>
        </w:rPr>
        <w:t xml:space="preserve"> 4-тармағына (бұдан әрі – Ойын бизнесі туралы заң) және Қазақстан Республикасы Президентінің 2021 жылғы 20 ақпандағы № 515 Жарлығымен бекітілген Қазақстан Республикасының Қаржылық мониторинг агенттігі туралы ереженің 19-тармағының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букмекерлік кеңсенің және (немесе) тотализатордың қызметін жүзеге асыратын ойын бизнесін ұйымдастырушылардан қаржылық мониторинг жөніндегі уәкілетті органға мәліметтерді беру тәртібін айқындайды.";</w:t>
      </w:r>
    </w:p>
    <w:bookmarkEnd w:id="7"/>
    <w:bookmarkStart w:name="z15" w:id="8"/>
    <w:p>
      <w:pPr>
        <w:spacing w:after="0"/>
        <w:ind w:left="0"/>
        <w:jc w:val="both"/>
      </w:pPr>
      <w:r>
        <w:rPr>
          <w:rFonts w:ascii="Times New Roman"/>
          <w:b w:val="false"/>
          <w:i w:val="false"/>
          <w:color w:val="000000"/>
          <w:sz w:val="28"/>
        </w:rPr>
        <w:t xml:space="preserve">
      көрсетілген бұйрықпен бекітілген Букмекерлік кеңсенің және (немесе) тотализатордың қызметін жүзеге асыратын ойын бизнесін ұйымдастырушылардың аппараттық-бағдарламалық кешендерін қаржылық мониторинг жөніндегі уәкілетті органның ақпараттық жүйелерімен интеграциялау арқылы берілетін мәліметтердің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8"/>
    <w:bookmarkStart w:name="z16" w:id="9"/>
    <w:p>
      <w:pPr>
        <w:spacing w:after="0"/>
        <w:ind w:left="0"/>
        <w:jc w:val="both"/>
      </w:pPr>
      <w:r>
        <w:rPr>
          <w:rFonts w:ascii="Times New Roman"/>
          <w:b w:val="false"/>
          <w:i w:val="false"/>
          <w:color w:val="000000"/>
          <w:sz w:val="28"/>
        </w:rPr>
        <w:t xml:space="preserve">
      көрсетілген бұйрықпен бекітілген Букмекерлік кеңсенің және (немесе) тотализатордың аппараттық-бағдарламалық кешенін қаржылық мониторинг жөніндегі уәкілетті органның ақпараттық жүйесімен интеграциялау арқылы берілетін мәліметтердің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9"/>
    <w:bookmarkStart w:name="z17" w:id="10"/>
    <w:p>
      <w:pPr>
        <w:spacing w:after="0"/>
        <w:ind w:left="0"/>
        <w:jc w:val="both"/>
      </w:pPr>
      <w:r>
        <w:rPr>
          <w:rFonts w:ascii="Times New Roman"/>
          <w:b w:val="false"/>
          <w:i w:val="false"/>
          <w:color w:val="000000"/>
          <w:sz w:val="28"/>
        </w:rPr>
        <w:t>
      2. Қазақстан Республикасы Қаржылық мониторинг агенттігінің Цифрландыру департаменті Қазақстан Республикасының заңнамасында белгіленген тәртіппен Қазақстан Республикасы Қаржылық мониторингі агенттігінің ақпараттық жүйелерін букмекерлік кеңсенің және (немесе) тотализатордың қызметін жүзеге асыратын ойын бизнесін ұйымдастырушылардың аппараттық-бағдарламалық кешендерімен интеграциялауды қамтамасыз етсін.</w:t>
      </w:r>
    </w:p>
    <w:bookmarkEnd w:id="10"/>
    <w:bookmarkStart w:name="z18" w:id="11"/>
    <w:p>
      <w:pPr>
        <w:spacing w:after="0"/>
        <w:ind w:left="0"/>
        <w:jc w:val="both"/>
      </w:pPr>
      <w:r>
        <w:rPr>
          <w:rFonts w:ascii="Times New Roman"/>
          <w:b w:val="false"/>
          <w:i w:val="false"/>
          <w:color w:val="000000"/>
          <w:sz w:val="28"/>
        </w:rPr>
        <w:t>
      3. Қазақстан Республикасы Қаржылық мониторинг агенттігінің Қаржылық мониторинг субъектілерімен жұмыс департаменті Қазақстан Республикасының заңнамасында белгіленген тәртіппен:</w:t>
      </w:r>
    </w:p>
    <w:bookmarkEnd w:id="11"/>
    <w:bookmarkStart w:name="z19" w:id="1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2"/>
    <w:bookmarkStart w:name="z20" w:id="1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Қаржылық мониторинг агенттігінің интернет-ресурсында орналастыруды;</w:t>
      </w:r>
    </w:p>
    <w:bookmarkEnd w:id="13"/>
    <w:bookmarkStart w:name="z21" w:id="14"/>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Қаржылық мониторинг агенттігінің Құқықтық қамтамасыз ету департаментіне осы тармақтың 1) және 2) тармақшаларында көзделген іс-шаралардың орындалуы туралы мәліметтер ұсынуды қамтамасыз етсін.</w:t>
      </w:r>
    </w:p>
    <w:bookmarkEnd w:id="14"/>
    <w:bookmarkStart w:name="z22" w:id="15"/>
    <w:p>
      <w:pPr>
        <w:spacing w:after="0"/>
        <w:ind w:left="0"/>
        <w:jc w:val="both"/>
      </w:pPr>
      <w:r>
        <w:rPr>
          <w:rFonts w:ascii="Times New Roman"/>
          <w:b w:val="false"/>
          <w:i w:val="false"/>
          <w:color w:val="000000"/>
          <w:sz w:val="28"/>
        </w:rPr>
        <w:t>
      4. Осы бұйрықтың орындалуын бақылау Қазақстан Республикасы Қаржылық мониторинг агенттігі Төрағасының бірінші орынбасарына жүктелсін.</w:t>
      </w:r>
    </w:p>
    <w:bookmarkEnd w:id="15"/>
    <w:bookmarkStart w:name="z23" w:id="1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Қаржылық мониторинг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p>
      <w:pPr>
        <w:spacing w:after="0"/>
        <w:ind w:left="0"/>
        <w:jc w:val="both"/>
      </w:pPr>
      <w:bookmarkStart w:name="z25" w:id="17"/>
      <w:r>
        <w:rPr>
          <w:rFonts w:ascii="Times New Roman"/>
          <w:b w:val="false"/>
          <w:i w:val="false"/>
          <w:color w:val="000000"/>
          <w:sz w:val="28"/>
        </w:rPr>
        <w:t>
      "КЕЛІСІЛДІ"</w:t>
      </w:r>
    </w:p>
    <w:bookmarkEnd w:id="1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Туризм және спорт министрлігі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 маусымдағы</w:t>
            </w:r>
            <w:r>
              <w:br/>
            </w:r>
            <w:r>
              <w:rPr>
                <w:rFonts w:ascii="Times New Roman"/>
                <w:b w:val="false"/>
                <w:i w:val="false"/>
                <w:color w:val="000000"/>
                <w:sz w:val="20"/>
              </w:rPr>
              <w:t>№ 11 бұйрыққа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2024 жылғы 6 желтоқсандағы</w:t>
            </w:r>
            <w:r>
              <w:br/>
            </w:r>
            <w:r>
              <w:rPr>
                <w:rFonts w:ascii="Times New Roman"/>
                <w:b w:val="false"/>
                <w:i w:val="false"/>
                <w:color w:val="000000"/>
                <w:sz w:val="20"/>
              </w:rPr>
              <w:t>№ 9 бұйрығына</w:t>
            </w:r>
            <w:r>
              <w:br/>
            </w:r>
            <w:r>
              <w:rPr>
                <w:rFonts w:ascii="Times New Roman"/>
                <w:b w:val="false"/>
                <w:i w:val="false"/>
                <w:color w:val="000000"/>
                <w:sz w:val="20"/>
              </w:rPr>
              <w:t>2 қосымша</w:t>
            </w:r>
          </w:p>
        </w:tc>
      </w:tr>
    </w:tbl>
    <w:bookmarkStart w:name="z27" w:id="18"/>
    <w:p>
      <w:pPr>
        <w:spacing w:after="0"/>
        <w:ind w:left="0"/>
        <w:jc w:val="left"/>
      </w:pPr>
      <w:r>
        <w:rPr>
          <w:rFonts w:ascii="Times New Roman"/>
          <w:b/>
          <w:i w:val="false"/>
          <w:color w:val="000000"/>
        </w:rPr>
        <w:t xml:space="preserve"> Букмекерлік кеңсенің және (немесе) тотализатордың қызметін жүзеге асыратын ойын бизнесін ұйымдастырушылардың аппараттық-бағдарламалық кешендерін қаржылық мониторинг жөніндегі уәкілетті органның ақпараттық жүйелерімен интеграциялау арқылы беруге жататын мәліметтерді беру тізбесі</w:t>
      </w:r>
    </w:p>
    <w:bookmarkEnd w:id="18"/>
    <w:bookmarkStart w:name="z28" w:id="19"/>
    <w:p>
      <w:pPr>
        <w:spacing w:after="0"/>
        <w:ind w:left="0"/>
        <w:jc w:val="both"/>
      </w:pPr>
      <w:r>
        <w:rPr>
          <w:rFonts w:ascii="Times New Roman"/>
          <w:b w:val="false"/>
          <w:i w:val="false"/>
          <w:color w:val="000000"/>
          <w:sz w:val="28"/>
        </w:rPr>
        <w:t>
      Ойын бизнесін ұйымдастырушы туралы мәліметтер</w:t>
      </w:r>
    </w:p>
    <w:bookmarkEnd w:id="19"/>
    <w:bookmarkStart w:name="z29" w:id="20"/>
    <w:p>
      <w:pPr>
        <w:spacing w:after="0"/>
        <w:ind w:left="0"/>
        <w:jc w:val="both"/>
      </w:pPr>
      <w:r>
        <w:rPr>
          <w:rFonts w:ascii="Times New Roman"/>
          <w:b w:val="false"/>
          <w:i w:val="false"/>
          <w:color w:val="000000"/>
          <w:sz w:val="28"/>
        </w:rPr>
        <w:t>
      1. Бизнес-сәйкестендіру нөмірі.</w:t>
      </w:r>
    </w:p>
    <w:bookmarkEnd w:id="20"/>
    <w:bookmarkStart w:name="z30" w:id="21"/>
    <w:p>
      <w:pPr>
        <w:spacing w:after="0"/>
        <w:ind w:left="0"/>
        <w:jc w:val="both"/>
      </w:pPr>
      <w:r>
        <w:rPr>
          <w:rFonts w:ascii="Times New Roman"/>
          <w:b w:val="false"/>
          <w:i w:val="false"/>
          <w:color w:val="000000"/>
          <w:sz w:val="28"/>
        </w:rPr>
        <w:t>
      2. Ойын бизнесін ұйымдастырушының атауы.</w:t>
      </w:r>
    </w:p>
    <w:bookmarkEnd w:id="21"/>
    <w:bookmarkStart w:name="z31" w:id="22"/>
    <w:p>
      <w:pPr>
        <w:spacing w:after="0"/>
        <w:ind w:left="0"/>
        <w:jc w:val="both"/>
      </w:pPr>
      <w:r>
        <w:rPr>
          <w:rFonts w:ascii="Times New Roman"/>
          <w:b w:val="false"/>
          <w:i w:val="false"/>
          <w:color w:val="000000"/>
          <w:sz w:val="28"/>
        </w:rPr>
        <w:t>
      Бәс тігуге қатысушы туралы мәліметтер</w:t>
      </w:r>
    </w:p>
    <w:bookmarkEnd w:id="22"/>
    <w:bookmarkStart w:name="z32" w:id="23"/>
    <w:p>
      <w:pPr>
        <w:spacing w:after="0"/>
        <w:ind w:left="0"/>
        <w:jc w:val="both"/>
      </w:pPr>
      <w:r>
        <w:rPr>
          <w:rFonts w:ascii="Times New Roman"/>
          <w:b w:val="false"/>
          <w:i w:val="false"/>
          <w:color w:val="000000"/>
          <w:sz w:val="28"/>
        </w:rPr>
        <w:t>
      3. Тегі, аты, әкесінің аты (бар болса).</w:t>
      </w:r>
    </w:p>
    <w:bookmarkEnd w:id="23"/>
    <w:bookmarkStart w:name="z33" w:id="24"/>
    <w:p>
      <w:pPr>
        <w:spacing w:after="0"/>
        <w:ind w:left="0"/>
        <w:jc w:val="both"/>
      </w:pPr>
      <w:r>
        <w:rPr>
          <w:rFonts w:ascii="Times New Roman"/>
          <w:b w:val="false"/>
          <w:i w:val="false"/>
          <w:color w:val="000000"/>
          <w:sz w:val="28"/>
        </w:rPr>
        <w:t>
      4. Жеке сәйкестендіру нөмірі (ЖСН).</w:t>
      </w:r>
    </w:p>
    <w:bookmarkEnd w:id="24"/>
    <w:bookmarkStart w:name="z34" w:id="25"/>
    <w:p>
      <w:pPr>
        <w:spacing w:after="0"/>
        <w:ind w:left="0"/>
        <w:jc w:val="both"/>
      </w:pPr>
      <w:r>
        <w:rPr>
          <w:rFonts w:ascii="Times New Roman"/>
          <w:b w:val="false"/>
          <w:i w:val="false"/>
          <w:color w:val="000000"/>
          <w:sz w:val="28"/>
        </w:rPr>
        <w:t>
      5. Сәйкестендіру деректері (тұлға мәртебесіне қарай):</w:t>
      </w:r>
    </w:p>
    <w:bookmarkEnd w:id="25"/>
    <w:bookmarkStart w:name="z35" w:id="26"/>
    <w:p>
      <w:pPr>
        <w:spacing w:after="0"/>
        <w:ind w:left="0"/>
        <w:jc w:val="both"/>
      </w:pPr>
      <w:r>
        <w:rPr>
          <w:rFonts w:ascii="Times New Roman"/>
          <w:b w:val="false"/>
          <w:i w:val="false"/>
          <w:color w:val="000000"/>
          <w:sz w:val="28"/>
        </w:rPr>
        <w:t>
      • шетел азаматының Қазақстан Республикасында тұруына ықтиярхатта көрсетілген жеке сәйкестендіру нөмірі немесе шетелдік паспорттың нөмірі (шетел азаматы үшін).</w:t>
      </w:r>
    </w:p>
    <w:bookmarkEnd w:id="26"/>
    <w:bookmarkStart w:name="z36" w:id="27"/>
    <w:p>
      <w:pPr>
        <w:spacing w:after="0"/>
        <w:ind w:left="0"/>
        <w:jc w:val="both"/>
      </w:pPr>
      <w:r>
        <w:rPr>
          <w:rFonts w:ascii="Times New Roman"/>
          <w:b w:val="false"/>
          <w:i w:val="false"/>
          <w:color w:val="000000"/>
          <w:sz w:val="28"/>
        </w:rPr>
        <w:t>
      • Азаматтығы жоқ адамның куәлігінде көрсетілген ЖСН (азаматтығы жоқ адам үшін).</w:t>
      </w:r>
    </w:p>
    <w:bookmarkEnd w:id="27"/>
    <w:bookmarkStart w:name="z37" w:id="28"/>
    <w:p>
      <w:pPr>
        <w:spacing w:after="0"/>
        <w:ind w:left="0"/>
        <w:jc w:val="both"/>
      </w:pPr>
      <w:r>
        <w:rPr>
          <w:rFonts w:ascii="Times New Roman"/>
          <w:b w:val="false"/>
          <w:i w:val="false"/>
          <w:color w:val="000000"/>
          <w:sz w:val="28"/>
        </w:rPr>
        <w:t>
      6. Азаматтығы (бар болса).</w:t>
      </w:r>
    </w:p>
    <w:bookmarkEnd w:id="28"/>
    <w:bookmarkStart w:name="z38" w:id="29"/>
    <w:p>
      <w:pPr>
        <w:spacing w:after="0"/>
        <w:ind w:left="0"/>
        <w:jc w:val="both"/>
      </w:pPr>
      <w:r>
        <w:rPr>
          <w:rFonts w:ascii="Times New Roman"/>
          <w:b w:val="false"/>
          <w:i w:val="false"/>
          <w:color w:val="000000"/>
          <w:sz w:val="28"/>
        </w:rPr>
        <w:t>
      7. Ұялы байланыс абоненттік нөмірі.</w:t>
      </w:r>
    </w:p>
    <w:bookmarkEnd w:id="29"/>
    <w:bookmarkStart w:name="z39" w:id="30"/>
    <w:p>
      <w:pPr>
        <w:spacing w:after="0"/>
        <w:ind w:left="0"/>
        <w:jc w:val="both"/>
      </w:pPr>
      <w:r>
        <w:rPr>
          <w:rFonts w:ascii="Times New Roman"/>
          <w:b w:val="false"/>
          <w:i w:val="false"/>
          <w:color w:val="000000"/>
          <w:sz w:val="28"/>
        </w:rPr>
        <w:t>
      8. Жеке тұлғаның банктік шоты (бар болса).</w:t>
      </w:r>
    </w:p>
    <w:bookmarkEnd w:id="30"/>
    <w:bookmarkStart w:name="z40" w:id="31"/>
    <w:p>
      <w:pPr>
        <w:spacing w:after="0"/>
        <w:ind w:left="0"/>
        <w:jc w:val="both"/>
      </w:pPr>
      <w:r>
        <w:rPr>
          <w:rFonts w:ascii="Times New Roman"/>
          <w:b w:val="false"/>
          <w:i w:val="false"/>
          <w:color w:val="000000"/>
          <w:sz w:val="28"/>
        </w:rPr>
        <w:t>
      Бәс тігуге қатысушының аккаунты туралы мәліметтер</w:t>
      </w:r>
    </w:p>
    <w:bookmarkEnd w:id="31"/>
    <w:bookmarkStart w:name="z41" w:id="32"/>
    <w:p>
      <w:pPr>
        <w:spacing w:after="0"/>
        <w:ind w:left="0"/>
        <w:jc w:val="both"/>
      </w:pPr>
      <w:r>
        <w:rPr>
          <w:rFonts w:ascii="Times New Roman"/>
          <w:b w:val="false"/>
          <w:i w:val="false"/>
          <w:color w:val="000000"/>
          <w:sz w:val="28"/>
        </w:rPr>
        <w:t>
      9. Бәс тігуге қатысушы аккаунтының сәйкестендіргіні.</w:t>
      </w:r>
    </w:p>
    <w:bookmarkEnd w:id="32"/>
    <w:bookmarkStart w:name="z42" w:id="33"/>
    <w:p>
      <w:pPr>
        <w:spacing w:after="0"/>
        <w:ind w:left="0"/>
        <w:jc w:val="both"/>
      </w:pPr>
      <w:r>
        <w:rPr>
          <w:rFonts w:ascii="Times New Roman"/>
          <w:b w:val="false"/>
          <w:i w:val="false"/>
          <w:color w:val="000000"/>
          <w:sz w:val="28"/>
        </w:rPr>
        <w:t>
      10. Аккаунтты тіркеу күні мен уақыты.</w:t>
      </w:r>
    </w:p>
    <w:bookmarkEnd w:id="33"/>
    <w:bookmarkStart w:name="z43" w:id="34"/>
    <w:p>
      <w:pPr>
        <w:spacing w:after="0"/>
        <w:ind w:left="0"/>
        <w:jc w:val="both"/>
      </w:pPr>
      <w:r>
        <w:rPr>
          <w:rFonts w:ascii="Times New Roman"/>
          <w:b w:val="false"/>
          <w:i w:val="false"/>
          <w:color w:val="000000"/>
          <w:sz w:val="28"/>
        </w:rPr>
        <w:t>
      11. Аккаунттың мәртебесі (белсенді, бұғатталған).</w:t>
      </w:r>
    </w:p>
    <w:bookmarkEnd w:id="34"/>
    <w:bookmarkStart w:name="z44" w:id="35"/>
    <w:p>
      <w:pPr>
        <w:spacing w:after="0"/>
        <w:ind w:left="0"/>
        <w:jc w:val="both"/>
      </w:pPr>
      <w:r>
        <w:rPr>
          <w:rFonts w:ascii="Times New Roman"/>
          <w:b w:val="false"/>
          <w:i w:val="false"/>
          <w:color w:val="000000"/>
          <w:sz w:val="28"/>
        </w:rPr>
        <w:t>
      Төлем операциялары туралы мәліметтер</w:t>
      </w:r>
    </w:p>
    <w:bookmarkEnd w:id="35"/>
    <w:bookmarkStart w:name="z45" w:id="36"/>
    <w:p>
      <w:pPr>
        <w:spacing w:after="0"/>
        <w:ind w:left="0"/>
        <w:jc w:val="both"/>
      </w:pPr>
      <w:r>
        <w:rPr>
          <w:rFonts w:ascii="Times New Roman"/>
          <w:b w:val="false"/>
          <w:i w:val="false"/>
          <w:color w:val="000000"/>
          <w:sz w:val="28"/>
        </w:rPr>
        <w:t>
      12. Төлем операциясына қатысушы (банк және (немесе) төлем ұйымы және (немесе) ұялы байланыс операторы) берген төлем операциясының сәйкестендіргіні.</w:t>
      </w:r>
    </w:p>
    <w:bookmarkEnd w:id="36"/>
    <w:bookmarkStart w:name="z46" w:id="37"/>
    <w:p>
      <w:pPr>
        <w:spacing w:after="0"/>
        <w:ind w:left="0"/>
        <w:jc w:val="both"/>
      </w:pPr>
      <w:r>
        <w:rPr>
          <w:rFonts w:ascii="Times New Roman"/>
          <w:b w:val="false"/>
          <w:i w:val="false"/>
          <w:color w:val="000000"/>
          <w:sz w:val="28"/>
        </w:rPr>
        <w:t>
      13. Төлем операциясын орындауға қатысатын төлем инфрақұрылымы қатысушысының атауы (банк және (немесе) төлем ұйымы және (немесе) ұялы байланыс операторы).</w:t>
      </w:r>
    </w:p>
    <w:bookmarkEnd w:id="37"/>
    <w:bookmarkStart w:name="z47" w:id="38"/>
    <w:p>
      <w:pPr>
        <w:spacing w:after="0"/>
        <w:ind w:left="0"/>
        <w:jc w:val="both"/>
      </w:pPr>
      <w:r>
        <w:rPr>
          <w:rFonts w:ascii="Times New Roman"/>
          <w:b w:val="false"/>
          <w:i w:val="false"/>
          <w:color w:val="000000"/>
          <w:sz w:val="28"/>
        </w:rPr>
        <w:t>
      14. Операция түрі: ойын шотын толықтыру, ұтысты төлеу, ақшалай қаражатты қайтару.</w:t>
      </w:r>
    </w:p>
    <w:bookmarkEnd w:id="38"/>
    <w:bookmarkStart w:name="z48" w:id="39"/>
    <w:p>
      <w:pPr>
        <w:spacing w:after="0"/>
        <w:ind w:left="0"/>
        <w:jc w:val="both"/>
      </w:pPr>
      <w:r>
        <w:rPr>
          <w:rFonts w:ascii="Times New Roman"/>
          <w:b w:val="false"/>
          <w:i w:val="false"/>
          <w:color w:val="000000"/>
          <w:sz w:val="28"/>
        </w:rPr>
        <w:t>
      15. Операцияның күні мен уақыты.</w:t>
      </w:r>
    </w:p>
    <w:bookmarkEnd w:id="39"/>
    <w:bookmarkStart w:name="z49" w:id="40"/>
    <w:p>
      <w:pPr>
        <w:spacing w:after="0"/>
        <w:ind w:left="0"/>
        <w:jc w:val="both"/>
      </w:pPr>
      <w:r>
        <w:rPr>
          <w:rFonts w:ascii="Times New Roman"/>
          <w:b w:val="false"/>
          <w:i w:val="false"/>
          <w:color w:val="000000"/>
          <w:sz w:val="28"/>
        </w:rPr>
        <w:t>
      16. Операция сомасы.</w:t>
      </w:r>
    </w:p>
    <w:bookmarkEnd w:id="40"/>
    <w:bookmarkStart w:name="z50" w:id="41"/>
    <w:p>
      <w:pPr>
        <w:spacing w:after="0"/>
        <w:ind w:left="0"/>
        <w:jc w:val="both"/>
      </w:pPr>
      <w:r>
        <w:rPr>
          <w:rFonts w:ascii="Times New Roman"/>
          <w:b w:val="false"/>
          <w:i w:val="false"/>
          <w:color w:val="000000"/>
          <w:sz w:val="28"/>
        </w:rPr>
        <w:t>
      17. Операция валютасы (бар болса).</w:t>
      </w:r>
    </w:p>
    <w:bookmarkEnd w:id="41"/>
    <w:bookmarkStart w:name="z51" w:id="42"/>
    <w:p>
      <w:pPr>
        <w:spacing w:after="0"/>
        <w:ind w:left="0"/>
        <w:jc w:val="both"/>
      </w:pPr>
      <w:r>
        <w:rPr>
          <w:rFonts w:ascii="Times New Roman"/>
          <w:b w:val="false"/>
          <w:i w:val="false"/>
          <w:color w:val="000000"/>
          <w:sz w:val="28"/>
        </w:rPr>
        <w:t>
      18. Төлем инфрақұрылымы қатысушысы қалыптастырған операция мәртебесі (орындалды, қабылданбады, тоқтатылды, жойылды, қайтарылды).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 маусымдағы</w:t>
            </w:r>
            <w:r>
              <w:br/>
            </w:r>
            <w:r>
              <w:rPr>
                <w:rFonts w:ascii="Times New Roman"/>
                <w:b w:val="false"/>
                <w:i w:val="false"/>
                <w:color w:val="000000"/>
                <w:sz w:val="20"/>
              </w:rPr>
              <w:t>№ 11 бұйрыққа 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2024 жылғы 6 желтоқсандағы</w:t>
            </w:r>
            <w:r>
              <w:br/>
            </w:r>
            <w:r>
              <w:rPr>
                <w:rFonts w:ascii="Times New Roman"/>
                <w:b w:val="false"/>
                <w:i w:val="false"/>
                <w:color w:val="000000"/>
                <w:sz w:val="20"/>
              </w:rPr>
              <w:t>№ 9 бұйрығына</w:t>
            </w:r>
            <w:r>
              <w:br/>
            </w:r>
            <w:r>
              <w:rPr>
                <w:rFonts w:ascii="Times New Roman"/>
                <w:b w:val="false"/>
                <w:i w:val="false"/>
                <w:color w:val="000000"/>
                <w:sz w:val="20"/>
              </w:rPr>
              <w:t>3- қосымша</w:t>
            </w:r>
            <w:r>
              <w:br/>
            </w:r>
            <w:r>
              <w:rPr>
                <w:rFonts w:ascii="Times New Roman"/>
                <w:b w:val="false"/>
                <w:i w:val="false"/>
                <w:color w:val="000000"/>
                <w:sz w:val="20"/>
              </w:rPr>
              <w:t>Нысан</w:t>
            </w:r>
          </w:p>
        </w:tc>
      </w:tr>
    </w:tbl>
    <w:bookmarkStart w:name="z53" w:id="43"/>
    <w:p>
      <w:pPr>
        <w:spacing w:after="0"/>
        <w:ind w:left="0"/>
        <w:jc w:val="left"/>
      </w:pPr>
      <w:r>
        <w:rPr>
          <w:rFonts w:ascii="Times New Roman"/>
          <w:b/>
          <w:i w:val="false"/>
          <w:color w:val="000000"/>
        </w:rPr>
        <w:t xml:space="preserve"> Букмекерлік кеңсенің және (немесе) тотализатордың қызметін жүзеге асыратын ойын бизнесін ұйымдастырушылардың аппараттық-бағдарламалық кешендерін қаржы мониторингі жөніндегі уәкілетті органның ақпараттық жүйелерімен интеграциялау арқылы беруге жататын мәліметтер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деректері (тұлға мәртебесіне қарай):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азаматының Қазақстан Республикасында тұруына ықтиярхатта көрсетілген жеке сәйкестендіру нөмірі немесе шетелдік паспорттың нөмірі (шетел азаматы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адамның куәлігінде көрсетілген ЖСН (азаматтығы жоқ адам үшін)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абоненттік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банктік шоты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тігуге қатысушы аккаунтының сәйкестендіргіні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Аккаунтты тіркеу күні мен уақыты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Аккаунттың мәртебесі (белсенді, бұғатталған)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операциясына қатысушы (банк және (немесе) төлем ұйымы және (немесе) ұялы байланыс операторы) берген төлем операциясының сәйкестендіргіні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операциясын орындауға қатысатын төлем инфрақұрылымы қатысушысының атауы (банк және (немесе) төлем ұйымы және (немесе) ұялы байланыс операторы)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 ойын шотын толықтыру, ұтысты төлеу, ақшалай қаражатты қайтару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күні мен уақыты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валютасы (бар болса)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инфрақұрылымы қатысушысы қалыптастырған операция мәртебесі (орындалды, қабылданбады, тоқтатылды, жойылды, қайтарылды)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