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731e" w14:textId="85f7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қағидаларын бекіту туралы" Қазақстан Республикасы Бас Прокурорының 2016 жылғы 24 наурыздағы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16 сәуірдегі № 64 бұйрығы. Қазақстан Республикасының Әділет министрлігінде 2026 жылғы 21 сәуірде № 38491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13613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4-тармағын, 3-тармағының 10-1), 11) тармақшаларын іске асыру мақсатында және "Терроризмге қарсы іс-қимыл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"Экстремизмге қарсы іс-қимыл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талаптарын орындау үшін,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 басшылыққа алып,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"4. Арнайы есепке алуды Комитет және оның аумақтық органдарыны Қағидалардың қосымшасына сәйкес нысан бойынша террористік іс-әрекетті жүзеге асырғаны және экстремизм жасағаны үшін жауаптылыққа тартылған адамдардың электрондық журналы (Қазақстан Республикасы Қылмыстық кодексінің </w:t>
      </w:r>
      <w:r>
        <w:rPr>
          <w:rFonts w:ascii="Times New Roman"/>
          <w:b w:val="false"/>
          <w:i w:val="false"/>
          <w:color w:val="000000"/>
          <w:sz w:val="28"/>
        </w:rPr>
        <w:t>3-бабының</w:t>
      </w:r>
      <w:r>
        <w:rPr>
          <w:rFonts w:ascii="Times New Roman"/>
          <w:b w:val="false"/>
          <w:i w:val="false"/>
          <w:color w:val="000000"/>
          <w:sz w:val="28"/>
        </w:rPr>
        <w:t xml:space="preserve"> 30) және 39) тармақтары) Комитеттің цифрлық жүйесінде (бұдан әрі – электрондық журнал)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"18. Электрондық құжат нысанындағы талаптар (бұдан әрі – электрондық талаптар) Қазақстан Республикасының Цифрлық кодексіне сәйкес ресімделеді.</w:t>
      </w:r>
    </w:p>
    <w:bookmarkEnd w:id="6"/>
    <w:bookmarkStart w:name="z15" w:id="7"/>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bookmarkEnd w:id="7"/>
    <w:bookmarkStart w:name="z16" w:id="8"/>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"22.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9"/>
    <w:bookmarkStart w:name="z19" w:id="10"/>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цифрлық жүйелер арасында өзара іс-қимыл болмаған кезде 3 (үш) жұмыс күні ішінде орындалады.</w:t>
      </w:r>
    </w:p>
    <w:bookmarkEnd w:id="10"/>
    <w:bookmarkStart w:name="z20" w:id="11"/>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bookmarkEnd w:id="11"/>
    <w:bookmarkStart w:name="z21" w:id="12"/>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содан кейін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bookmarkEnd w:id="12"/>
    <w:bookmarkStart w:name="z22" w:id="13"/>
    <w:p>
      <w:pPr>
        <w:spacing w:after="0"/>
        <w:ind w:left="0"/>
        <w:jc w:val="both"/>
      </w:pPr>
      <w:r>
        <w:rPr>
          <w:rFonts w:ascii="Times New Roman"/>
          <w:b w:val="false"/>
          <w:i w:val="false"/>
          <w:color w:val="000000"/>
          <w:sz w:val="28"/>
        </w:rPr>
        <w:t>
      23. Тексеру нәтижелері № 29 Қағидалардың 17-қосымшасына сәйкес нысан бойынша мөр қоя отырып талаптарда көрсетіледі. Электрондық цифрлық қолтаңба қойылған, цифрлық жүйелер арқылы жіберілген электрондық талаптар бұларға қосылмайды.";</w:t>
      </w:r>
    </w:p>
    <w:bookmarkEnd w:id="13"/>
    <w:bookmarkStart w:name="z23" w:id="1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w:t>
      </w:r>
    </w:p>
    <w:bookmarkEnd w:id="16"/>
    <w:bookmarkStart w:name="z26" w:id="17"/>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және оларға теңестірілген органдарына орындау үшін жіберуді қамтамасыз етсін.</w:t>
      </w:r>
    </w:p>
    <w:bookmarkEnd w:id="17"/>
    <w:bookmarkStart w:name="z27" w:id="18"/>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18"/>
    <w:bookmarkStart w:name="z28" w:id="1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жетінші, сегізінші, он бірінші, он үшінші және он алтыншы абзацтарын қоспағанда,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