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5a53" w14:textId="c705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деректерді жинау, өңдеу қағидаларын бекіту туралы" Қазақстан Республикасы Цифрлық даму, инновациялар және аэроғарыш өнеркәсібі министрінің 2020 жылғы 21 қазандағы № 395/НҚ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8 сәуірдегі № 190/НҚ бұйрығы. Қазақстан Республикасының Әділет министрлігінде 2026 жылғы 9 сәуірде № 38376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"Дербес деректерді жинау, өңдеу қағидаларын бекіту туралы" Қазақстан Республикасы Цифрлық даму, инновациялар және аэроғарыш өнеркәсібі министрінің 2020 жылғы 21 қазандағы № 395/НҚ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21498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Дербес деректерді жинау, өңдеу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"1) дербес деректер – дербес деректердің бір немесе бірнеше сәйкестендіргішімен толықтырылған, дербес деректер субъектісі туралы мәліметтер немесе мәліметтер жиынтығы;";</w:t>
      </w:r>
    </w:p>
    <w:bookmarkEnd w:id="4"/>
    <w:bookmarkStart w:name="z12"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"10) дербес деректерге қол жеткізуді бақылаудың мемлекеттік емес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цифрлық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6"/>
    <w:bookmarkStart w:name="z14" w:id="7"/>
    <w:p>
      <w:pPr>
        <w:spacing w:after="0"/>
        <w:ind w:left="0"/>
        <w:jc w:val="both"/>
      </w:pPr>
      <w:r>
        <w:rPr>
          <w:rFonts w:ascii="Times New Roman"/>
          <w:b w:val="false"/>
          <w:i w:val="false"/>
          <w:color w:val="000000"/>
          <w:sz w:val="28"/>
        </w:rPr>
        <w:t>
      11) дербес деректерге қол жеткізуді бақылаудың мемлекеттік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цифрлық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"6.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8"/>
    <w:bookmarkStart w:name="z17" w:id="9"/>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цифрлық объектілеріндегі дербес деректерді жинау және (немесе) өңдеу кезінде келісім мемлекеттік сервис арқылы беріледі.".</w:t>
      </w:r>
    </w:p>
    <w:bookmarkEnd w:id="9"/>
    <w:bookmarkStart w:name="z18" w:id="10"/>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Ақпараттық қауіпсіздік комитеті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0"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12"/>
    <w:bookmarkStart w:name="z21" w:id="1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3"/>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