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c347" w14:textId="ea4c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серияларының (топтарының) ветеринариялық нормативтердің талаптарына сәйкестігін айқындау қағидаларын бекіту туралы" Қазақстан Республикасы Ауыл шаруашылығы министрінің міндетін атқарушының 2012 жылғы 30 наурыздағы № 18-02/144 бұйрығына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31 наурыздағы № 111 бұйрығы. Қазақстан Республикасының Әділет министрлігінде 2026 жылғы 3 сәуірде № 38297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серияларының (топтарының) ветеринариялық нормативтердің талаптарына сәйкестігін айқындау қағидаларын бекіту туралы" Қазақстан Республикасы Ауыл шаруашылығы министрінің міндетін атқарушының 2012 жылғы 30 наурыздағы № 18-02/144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7605 тіркелген)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серияларының (топтарының) ветеринариялық нормативтердің талаптарына сәйкестігін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19, 20, 21, 22, 23 және 24-тармақтармен толықтырылсын:</w:t>
      </w:r>
    </w:p>
    <w:bookmarkEnd w:id="3"/>
    <w:bookmarkStart w:name="z8" w:id="4"/>
    <w:p>
      <w:pPr>
        <w:spacing w:after="0"/>
        <w:ind w:left="0"/>
        <w:jc w:val="both"/>
      </w:pPr>
      <w:r>
        <w:rPr>
          <w:rFonts w:ascii="Times New Roman"/>
          <w:b w:val="false"/>
          <w:i w:val="false"/>
          <w:color w:val="000000"/>
          <w:sz w:val="28"/>
        </w:rPr>
        <w:t>
      "19. Ветеринариялық препараттар серияларының (партияларының), жануарлар мен құстардың аса қауіпті ауруларына қарсы ветеринариялық профилактикалық іс-шараларды жүргізу үшін сатып алынатын ветеринариялық препараттардың НТҚ-ға сәйкестігін айқындау, НТҚ-да ветеринариялық препаратқа көрсетілген зертханалық және нысаналы жануарларды бақылау әдістері бойынша жүргізіледі.</w:t>
      </w:r>
    </w:p>
    <w:bookmarkEnd w:id="4"/>
    <w:bookmarkStart w:name="z9" w:id="5"/>
    <w:p>
      <w:pPr>
        <w:spacing w:after="0"/>
        <w:ind w:left="0"/>
        <w:jc w:val="both"/>
      </w:pPr>
      <w:r>
        <w:rPr>
          <w:rFonts w:ascii="Times New Roman"/>
          <w:b w:val="false"/>
          <w:i w:val="false"/>
          <w:color w:val="000000"/>
          <w:sz w:val="28"/>
        </w:rPr>
        <w:t>
      20. Ветеринариялық препараттар серияларының (партияларының), жануарлар мен құстардың аса қауіпті ауруларына қарсы ветеринариялық профилактикалық іс-шаралар жүргізу мақсатында сатып алынатын ветеринариялық препараттардың НТҚ-ға сәйкестігін айқындау үшін келіп түскен сериялардың (партиялардың) жалпы көлемінен ветеринариялық препараттар серияларының (партияларының) 30%-ы мынадай арақатынаста (көлемде) іріктеледі:</w:t>
      </w:r>
    </w:p>
    <w:bookmarkEnd w:id="5"/>
    <w:bookmarkStart w:name="z10" w:id="6"/>
    <w:p>
      <w:pPr>
        <w:spacing w:after="0"/>
        <w:ind w:left="0"/>
        <w:jc w:val="both"/>
      </w:pPr>
      <w:r>
        <w:rPr>
          <w:rFonts w:ascii="Times New Roman"/>
          <w:b w:val="false"/>
          <w:i w:val="false"/>
          <w:color w:val="000000"/>
          <w:sz w:val="28"/>
        </w:rPr>
        <w:t>
      келіп түскен 3 серияға (партияға) дейін 1 серия зерттеуге жатады;</w:t>
      </w:r>
    </w:p>
    <w:bookmarkEnd w:id="6"/>
    <w:bookmarkStart w:name="z11" w:id="7"/>
    <w:p>
      <w:pPr>
        <w:spacing w:after="0"/>
        <w:ind w:left="0"/>
        <w:jc w:val="both"/>
      </w:pPr>
      <w:r>
        <w:rPr>
          <w:rFonts w:ascii="Times New Roman"/>
          <w:b w:val="false"/>
          <w:i w:val="false"/>
          <w:color w:val="000000"/>
          <w:sz w:val="28"/>
        </w:rPr>
        <w:t>
      келіп түскен 6 серияға (партияға) дейін 2 серия зерттеуге жатады;</w:t>
      </w:r>
    </w:p>
    <w:bookmarkEnd w:id="7"/>
    <w:bookmarkStart w:name="z12" w:id="8"/>
    <w:p>
      <w:pPr>
        <w:spacing w:after="0"/>
        <w:ind w:left="0"/>
        <w:jc w:val="both"/>
      </w:pPr>
      <w:r>
        <w:rPr>
          <w:rFonts w:ascii="Times New Roman"/>
          <w:b w:val="false"/>
          <w:i w:val="false"/>
          <w:color w:val="000000"/>
          <w:sz w:val="28"/>
        </w:rPr>
        <w:t>
      келіп түскен 10 серияға (партияға) дейін 3 серия зерттеуге жатады;</w:t>
      </w:r>
    </w:p>
    <w:bookmarkEnd w:id="8"/>
    <w:bookmarkStart w:name="z13" w:id="9"/>
    <w:p>
      <w:pPr>
        <w:spacing w:after="0"/>
        <w:ind w:left="0"/>
        <w:jc w:val="both"/>
      </w:pPr>
      <w:r>
        <w:rPr>
          <w:rFonts w:ascii="Times New Roman"/>
          <w:b w:val="false"/>
          <w:i w:val="false"/>
          <w:color w:val="000000"/>
          <w:sz w:val="28"/>
        </w:rPr>
        <w:t>
      келіп түскен 15 серияға (партияға) дейін 5 серия зерттеуге жатады;</w:t>
      </w:r>
    </w:p>
    <w:bookmarkEnd w:id="9"/>
    <w:bookmarkStart w:name="z14" w:id="10"/>
    <w:p>
      <w:pPr>
        <w:spacing w:after="0"/>
        <w:ind w:left="0"/>
        <w:jc w:val="both"/>
      </w:pPr>
      <w:r>
        <w:rPr>
          <w:rFonts w:ascii="Times New Roman"/>
          <w:b w:val="false"/>
          <w:i w:val="false"/>
          <w:color w:val="000000"/>
          <w:sz w:val="28"/>
        </w:rPr>
        <w:t>
      келіп түскен 20 серияға (партияға) дейін 7 серия зерттеуге жатады;</w:t>
      </w:r>
    </w:p>
    <w:bookmarkEnd w:id="10"/>
    <w:bookmarkStart w:name="z15" w:id="11"/>
    <w:p>
      <w:pPr>
        <w:spacing w:after="0"/>
        <w:ind w:left="0"/>
        <w:jc w:val="both"/>
      </w:pPr>
      <w:r>
        <w:rPr>
          <w:rFonts w:ascii="Times New Roman"/>
          <w:b w:val="false"/>
          <w:i w:val="false"/>
          <w:color w:val="000000"/>
          <w:sz w:val="28"/>
        </w:rPr>
        <w:t>
      келіп түскен 30 серияға (партияға) дейін 9 серия зерттеуге жатады;</w:t>
      </w:r>
    </w:p>
    <w:bookmarkEnd w:id="11"/>
    <w:bookmarkStart w:name="z16" w:id="12"/>
    <w:p>
      <w:pPr>
        <w:spacing w:after="0"/>
        <w:ind w:left="0"/>
        <w:jc w:val="both"/>
      </w:pPr>
      <w:r>
        <w:rPr>
          <w:rFonts w:ascii="Times New Roman"/>
          <w:b w:val="false"/>
          <w:i w:val="false"/>
          <w:color w:val="000000"/>
          <w:sz w:val="28"/>
        </w:rPr>
        <w:t>
      келіп түскен 40 серияға (партияға) дейін 11 серия зерттеуге жатады;</w:t>
      </w:r>
    </w:p>
    <w:bookmarkEnd w:id="12"/>
    <w:bookmarkStart w:name="z17" w:id="13"/>
    <w:p>
      <w:pPr>
        <w:spacing w:after="0"/>
        <w:ind w:left="0"/>
        <w:jc w:val="both"/>
      </w:pPr>
      <w:r>
        <w:rPr>
          <w:rFonts w:ascii="Times New Roman"/>
          <w:b w:val="false"/>
          <w:i w:val="false"/>
          <w:color w:val="000000"/>
          <w:sz w:val="28"/>
        </w:rPr>
        <w:t>
      келіп түскен 50 серияға (партияға) дейін 13 серия зерттеуге жатады.</w:t>
      </w:r>
    </w:p>
    <w:bookmarkEnd w:id="13"/>
    <w:bookmarkStart w:name="z18" w:id="14"/>
    <w:p>
      <w:pPr>
        <w:spacing w:after="0"/>
        <w:ind w:left="0"/>
        <w:jc w:val="both"/>
      </w:pPr>
      <w:r>
        <w:rPr>
          <w:rFonts w:ascii="Times New Roman"/>
          <w:b w:val="false"/>
          <w:i w:val="false"/>
          <w:color w:val="000000"/>
          <w:sz w:val="28"/>
        </w:rPr>
        <w:t>
      21. Мемлекеттік ветеринариялық ұйым осы Қағидалардың 20-тармағында айқындалған мөлшерде ветеринариялық препараттардың іріктелген үлгілерін НТҚ-да көрсетілген талаптарға сәйкестігін айқындау жөнінде іс-шаралар жүргізеді.</w:t>
      </w:r>
    </w:p>
    <w:bookmarkEnd w:id="14"/>
    <w:bookmarkStart w:name="z19" w:id="15"/>
    <w:p>
      <w:pPr>
        <w:spacing w:after="0"/>
        <w:ind w:left="0"/>
        <w:jc w:val="both"/>
      </w:pPr>
      <w:r>
        <w:rPr>
          <w:rFonts w:ascii="Times New Roman"/>
          <w:b w:val="false"/>
          <w:i w:val="false"/>
          <w:color w:val="000000"/>
          <w:sz w:val="28"/>
        </w:rPr>
        <w:t>
      22. Кәсіпкерлік субъектілері жүргізілген зерттеулердің нәтижелеріне дау тудырған, ветеринариялық препараттар серияларының (партияларының) НТК талаптарына сәйкессіздігін анықтаған жағдайларда, сондай-ақ жүргізілген зерттеулердің нәтижелерін растау немесе нақтылау қажет болған жағдайда, мемлекеттік ветеринариялық ұйым сериялардың (партиялардың) іріктелген көлемінен ветеринариялық препараттардың үлгілерін халықаралық референттік зертханаларға НТК талаптарына зерттеулер жүргізу үшін жібереді.</w:t>
      </w:r>
    </w:p>
    <w:bookmarkEnd w:id="15"/>
    <w:bookmarkStart w:name="z20" w:id="16"/>
    <w:p>
      <w:pPr>
        <w:spacing w:after="0"/>
        <w:ind w:left="0"/>
        <w:jc w:val="both"/>
      </w:pPr>
      <w:r>
        <w:rPr>
          <w:rFonts w:ascii="Times New Roman"/>
          <w:b w:val="false"/>
          <w:i w:val="false"/>
          <w:color w:val="000000"/>
          <w:sz w:val="28"/>
        </w:rPr>
        <w:t>
      23. Осы Қағидалардың 21 және 22-тармақтарында көрсетілген ұйымдар жүргізген зерттеулердің қорытындылары бойынша мемлекеттік ветеринариялық ұйым алынған ақпаратты талдайды, жануарлардың саулығы мен өмірі үшін ауыр зардаптарға әкеп соққан немесе әкелуі мүмкін анықталған жанама әсерлер, ветеринариялық препараттың тиімділігі туралы тәуекелдің жай-күйін бағалайды және осы Қағидаларға 4-қосымшаға сәйкес нысан бойынша ветеринариялық препараттардың іріктелген серияларына (партияларына) жүргізілген зерттеулер туралы актін ветеринария саласындағы уәкілетті органның ведомствосына жолдайды.</w:t>
      </w:r>
    </w:p>
    <w:bookmarkEnd w:id="16"/>
    <w:bookmarkStart w:name="z21" w:id="17"/>
    <w:p>
      <w:pPr>
        <w:spacing w:after="0"/>
        <w:ind w:left="0"/>
        <w:jc w:val="both"/>
      </w:pPr>
      <w:r>
        <w:rPr>
          <w:rFonts w:ascii="Times New Roman"/>
          <w:b w:val="false"/>
          <w:i w:val="false"/>
          <w:color w:val="000000"/>
          <w:sz w:val="28"/>
        </w:rPr>
        <w:t>
      24. Ветеринариялық препараттар сериялары (партиялары) референттік зертхана мен халықаралық референттік зертханалардың сынау нәтижелері бойынша НТҚ талаптарына сәйкес келмеген жағдайда, ЖАО және ветеринария саласындағы уәкілетті орган ведомствосының аумақтық бөлімшелері ветеринариялық препараттарды толық ауыстыру үшін оларды иесіне қайтару мақсатында "Ветеринария туралы" Қазақстан Республикасы Заңының 11-бабы 1-тармағының 1) тармақшасына сәйкес құрылған мемлекеттік ветеринариялық ұйымның негізгі қоймаларына бүлінген ветеринариялық препараттар серияларының (партияларының) қалған ветеринариялық препараттардың жиналуын және жеткізілуін қамтамасыз етеді.";</w:t>
      </w:r>
    </w:p>
    <w:bookmarkEnd w:id="17"/>
    <w:bookmarkStart w:name="z22"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18"/>
    <w:bookmarkStart w:name="z23" w:id="19"/>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19"/>
    <w:bookmarkStart w:name="z24" w:id="2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0"/>
    <w:bookmarkStart w:name="z25" w:id="21"/>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1"/>
    <w:bookmarkStart w:name="z26"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22"/>
    <w:bookmarkStart w:name="z27"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31 наурыздағы</w:t>
            </w:r>
            <w:r>
              <w:br/>
            </w:r>
            <w:r>
              <w:rPr>
                <w:rFonts w:ascii="Times New Roman"/>
                <w:b w:val="false"/>
                <w:i w:val="false"/>
                <w:color w:val="000000"/>
                <w:sz w:val="20"/>
              </w:rPr>
              <w:t>№ 111 Ветеринариялық</w:t>
            </w:r>
            <w:r>
              <w:br/>
            </w:r>
            <w:r>
              <w:rPr>
                <w:rFonts w:ascii="Times New Roman"/>
                <w:b w:val="false"/>
                <w:i w:val="false"/>
                <w:color w:val="000000"/>
                <w:sz w:val="20"/>
              </w:rPr>
              <w:t>препараттардың, жемшөп пен</w:t>
            </w:r>
            <w:r>
              <w:br/>
            </w:r>
            <w:r>
              <w:rPr>
                <w:rFonts w:ascii="Times New Roman"/>
                <w:b w:val="false"/>
                <w:i w:val="false"/>
                <w:color w:val="000000"/>
                <w:sz w:val="20"/>
              </w:rPr>
              <w:t>жемшөп қоспаларының және</w:t>
            </w:r>
            <w:r>
              <w:br/>
            </w:r>
            <w:r>
              <w:rPr>
                <w:rFonts w:ascii="Times New Roman"/>
                <w:b w:val="false"/>
                <w:i w:val="false"/>
                <w:color w:val="000000"/>
                <w:sz w:val="20"/>
              </w:rPr>
              <w:t>(немесе) антибиотиктерi,</w:t>
            </w:r>
            <w:r>
              <w:br/>
            </w:r>
            <w:r>
              <w:rPr>
                <w:rFonts w:ascii="Times New Roman"/>
                <w:b w:val="false"/>
                <w:i w:val="false"/>
                <w:color w:val="000000"/>
                <w:sz w:val="20"/>
              </w:rPr>
              <w:t>гормондары және биологиялық</w:t>
            </w:r>
            <w:r>
              <w:br/>
            </w:r>
            <w:r>
              <w:rPr>
                <w:rFonts w:ascii="Times New Roman"/>
                <w:b w:val="false"/>
                <w:i w:val="false"/>
                <w:color w:val="000000"/>
                <w:sz w:val="20"/>
              </w:rPr>
              <w:t>стимуляторлары бар</w:t>
            </w:r>
            <w:r>
              <w:br/>
            </w:r>
            <w:r>
              <w:rPr>
                <w:rFonts w:ascii="Times New Roman"/>
                <w:b w:val="false"/>
                <w:i w:val="false"/>
                <w:color w:val="000000"/>
                <w:sz w:val="20"/>
              </w:rPr>
              <w:t>ветеринариялық</w:t>
            </w:r>
            <w:r>
              <w:br/>
            </w:r>
            <w:r>
              <w:rPr>
                <w:rFonts w:ascii="Times New Roman"/>
                <w:b w:val="false"/>
                <w:i w:val="false"/>
                <w:color w:val="000000"/>
                <w:sz w:val="20"/>
              </w:rPr>
              <w:t>препараттардың, жемшөп пен</w:t>
            </w:r>
            <w:r>
              <w:br/>
            </w:r>
            <w:r>
              <w:rPr>
                <w:rFonts w:ascii="Times New Roman"/>
                <w:b w:val="false"/>
                <w:i w:val="false"/>
                <w:color w:val="000000"/>
                <w:sz w:val="20"/>
              </w:rPr>
              <w:t>жемшөп қоспаларының</w:t>
            </w:r>
            <w:r>
              <w:br/>
            </w:r>
            <w:r>
              <w:rPr>
                <w:rFonts w:ascii="Times New Roman"/>
                <w:b w:val="false"/>
                <w:i w:val="false"/>
                <w:color w:val="000000"/>
                <w:sz w:val="20"/>
              </w:rPr>
              <w:t>серияларының (топтарының)</w:t>
            </w:r>
            <w:r>
              <w:br/>
            </w:r>
            <w:r>
              <w:rPr>
                <w:rFonts w:ascii="Times New Roman"/>
                <w:b w:val="false"/>
                <w:i w:val="false"/>
                <w:color w:val="000000"/>
                <w:sz w:val="20"/>
              </w:rPr>
              <w:t>ветеринариялық нормативтердің</w:t>
            </w:r>
            <w:r>
              <w:br/>
            </w:r>
            <w:r>
              <w:rPr>
                <w:rFonts w:ascii="Times New Roman"/>
                <w:b w:val="false"/>
                <w:i w:val="false"/>
                <w:color w:val="000000"/>
                <w:sz w:val="20"/>
              </w:rPr>
              <w:t>талаптарына сәйкестігін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4-қосымша</w:t>
            </w:r>
          </w:p>
        </w:tc>
      </w:tr>
    </w:tbl>
    <w:bookmarkStart w:name="z30" w:id="24"/>
    <w:p>
      <w:pPr>
        <w:spacing w:after="0"/>
        <w:ind w:left="0"/>
        <w:jc w:val="both"/>
      </w:pPr>
      <w:r>
        <w:rPr>
          <w:rFonts w:ascii="Times New Roman"/>
          <w:b w:val="false"/>
          <w:i w:val="false"/>
          <w:color w:val="000000"/>
          <w:sz w:val="28"/>
        </w:rPr>
        <w:t>
      Нысан</w:t>
      </w:r>
    </w:p>
    <w:bookmarkEnd w:id="24"/>
    <w:bookmarkStart w:name="z31"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1651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2" w:id="26"/>
    <w:p>
      <w:pPr>
        <w:spacing w:after="0"/>
        <w:ind w:left="0"/>
        <w:jc w:val="left"/>
      </w:pPr>
      <w:r>
        <w:rPr>
          <w:rFonts w:ascii="Times New Roman"/>
          <w:b/>
          <w:i w:val="false"/>
          <w:color w:val="000000"/>
        </w:rPr>
        <w:t xml:space="preserve"> 20____ жылғы "____" ________ № __сараптама актісі (сынақ хаттамасы)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типі, маркасы, сериясы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Үлгінің сынаққа келіп түскен күні</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Үлгінің алынған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Дайындаушы (ел, кәсіпорын)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Партия өлшемі (көлемі), массасы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Сынама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Нормативтік құжаттың белгіленуі</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Сынақтар жүргізілген күн</w:t>
            </w:r>
          </w:p>
          <w:p>
            <w:pPr>
              <w:spacing w:after="20"/>
              <w:ind w:left="20"/>
              <w:jc w:val="both"/>
            </w:pPr>
            <w:r>
              <w:rPr>
                <w:rFonts w:ascii="Times New Roman"/>
                <w:b w:val="false"/>
                <w:i w:val="false"/>
                <w:color w:val="000000"/>
                <w:sz w:val="20"/>
              </w:rPr>
              <w:t>
Сынақтар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28"/>
    <w:p>
      <w:pPr>
        <w:spacing w:after="0"/>
        <w:ind w:left="0"/>
        <w:jc w:val="both"/>
      </w:pPr>
      <w:r>
        <w:rPr>
          <w:rFonts w:ascii="Times New Roman"/>
          <w:b w:val="false"/>
          <w:i w:val="false"/>
          <w:color w:val="000000"/>
          <w:sz w:val="28"/>
        </w:rPr>
        <w:t>
      Сыртқы беті</w:t>
      </w:r>
    </w:p>
    <w:bookmarkEnd w:id="28"/>
    <w:bookmarkStart w:name="z41" w:id="29"/>
    <w:p>
      <w:pPr>
        <w:spacing w:after="0"/>
        <w:ind w:left="0"/>
        <w:jc w:val="both"/>
      </w:pPr>
      <w:r>
        <w:rPr>
          <w:rFonts w:ascii="Times New Roman"/>
          <w:b w:val="false"/>
          <w:i w:val="false"/>
          <w:color w:val="000000"/>
          <w:sz w:val="28"/>
        </w:rPr>
        <w:t>
      Сараптамалар (сынақтар) нәтижелері/ 20____ жылғы "____" № __</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Зерттеулер/сынақтар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Зерттеулер/сынақтар әдістемелеріне нормативтік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нормаланатын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Зерттеулер/сынақтар нәтижелері/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0"/>
    <w:p>
      <w:pPr>
        <w:spacing w:after="0"/>
        <w:ind w:left="0"/>
        <w:jc w:val="both"/>
      </w:pPr>
      <w:r>
        <w:rPr>
          <w:rFonts w:ascii="Times New Roman"/>
          <w:b w:val="false"/>
          <w:i w:val="false"/>
          <w:color w:val="000000"/>
          <w:sz w:val="28"/>
        </w:rPr>
        <w:t>
      Сынақтар нәтижесі бойынша қорытынды:</w:t>
      </w:r>
    </w:p>
    <w:bookmarkEnd w:id="30"/>
    <w:bookmarkStart w:name="z43" w:id="31"/>
    <w:p>
      <w:pPr>
        <w:spacing w:after="0"/>
        <w:ind w:left="0"/>
        <w:jc w:val="both"/>
      </w:pPr>
      <w:r>
        <w:rPr>
          <w:rFonts w:ascii="Times New Roman"/>
          <w:b w:val="false"/>
          <w:i w:val="false"/>
          <w:color w:val="000000"/>
          <w:sz w:val="28"/>
        </w:rPr>
        <w:t>
      НТҚ сәйкес қолданылған бақылау материалдары (диагностикумдар)</w:t>
      </w:r>
    </w:p>
    <w:bookmarkEnd w:id="31"/>
    <w:bookmarkStart w:name="z44" w:id="32"/>
    <w:p>
      <w:pPr>
        <w:spacing w:after="0"/>
        <w:ind w:left="0"/>
        <w:jc w:val="both"/>
      </w:pPr>
      <w:r>
        <w:rPr>
          <w:rFonts w:ascii="Times New Roman"/>
          <w:b w:val="false"/>
          <w:i w:val="false"/>
          <w:color w:val="000000"/>
          <w:sz w:val="28"/>
        </w:rPr>
        <w:t>
      __________________________________________________________________</w:t>
      </w:r>
    </w:p>
    <w:bookmarkEnd w:id="32"/>
    <w:bookmarkStart w:name="z45" w:id="33"/>
    <w:p>
      <w:pPr>
        <w:spacing w:after="0"/>
        <w:ind w:left="0"/>
        <w:jc w:val="both"/>
      </w:pPr>
      <w:r>
        <w:rPr>
          <w:rFonts w:ascii="Times New Roman"/>
          <w:b w:val="false"/>
          <w:i w:val="false"/>
          <w:color w:val="000000"/>
          <w:sz w:val="28"/>
        </w:rPr>
        <w:t>
      Сынақтарды жүргізу шарттары:</w:t>
      </w:r>
    </w:p>
    <w:bookmarkEnd w:id="33"/>
    <w:bookmarkStart w:name="z46" w:id="34"/>
    <w:p>
      <w:pPr>
        <w:spacing w:after="0"/>
        <w:ind w:left="0"/>
        <w:jc w:val="both"/>
      </w:pPr>
      <w:r>
        <w:rPr>
          <w:rFonts w:ascii="Times New Roman"/>
          <w:b w:val="false"/>
          <w:i w:val="false"/>
          <w:color w:val="000000"/>
          <w:sz w:val="28"/>
        </w:rPr>
        <w:t>
      ___________________________________________________________________</w:t>
      </w:r>
    </w:p>
    <w:bookmarkEnd w:id="34"/>
    <w:bookmarkStart w:name="z47" w:id="35"/>
    <w:p>
      <w:pPr>
        <w:spacing w:after="0"/>
        <w:ind w:left="0"/>
        <w:jc w:val="both"/>
      </w:pPr>
      <w:r>
        <w:rPr>
          <w:rFonts w:ascii="Times New Roman"/>
          <w:b w:val="false"/>
          <w:i w:val="false"/>
          <w:color w:val="000000"/>
          <w:sz w:val="28"/>
        </w:rPr>
        <w:t>
      санитариялық нормаларының талаптарына сәйкес</w:t>
      </w:r>
    </w:p>
    <w:bookmarkEnd w:id="35"/>
    <w:bookmarkStart w:name="z48" w:id="36"/>
    <w:p>
      <w:pPr>
        <w:spacing w:after="0"/>
        <w:ind w:left="0"/>
        <w:jc w:val="both"/>
      </w:pPr>
      <w:r>
        <w:rPr>
          <w:rFonts w:ascii="Times New Roman"/>
          <w:b w:val="false"/>
          <w:i w:val="false"/>
          <w:color w:val="000000"/>
          <w:sz w:val="28"/>
        </w:rPr>
        <w:t>
      Ескертпе: осы сараптама актісін (сынақ хаттамасын) зерттеу/сынақ жүргізген ветеринариялық зертхананың рұқсатынсыз толықтай немесе ішінара қайта шығаруға немесе тираждауға болмайды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