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0791" w14:textId="3f90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"Жерлерді резервте қалдыру қағидаларын бекіту туралы" Қазақстан Республикасы Ұлттық экономика министрінің 2015 жылғы 28 ақпандағы № 178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30 наурыздағы № 100 бұйрығы. Қазақстан Республикасының Әділет министрлігінде 2026 жылғы 31 наурызда № 38255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"Жерлерді резервте қалдыру қағидаларын бекіту туралы" Қазақстан Республикасы Ұлттық экономика министрінің 2015 жылғы 28 ақпандағы № 178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11337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Жерлерді резервте қалдыру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11" w:id="4"/>
    <w:p>
      <w:pPr>
        <w:spacing w:after="0"/>
        <w:ind w:left="0"/>
        <w:jc w:val="both"/>
      </w:pPr>
      <w:r>
        <w:rPr>
          <w:rFonts w:ascii="Times New Roman"/>
          <w:b w:val="false"/>
          <w:i w:val="false"/>
          <w:color w:val="000000"/>
          <w:sz w:val="28"/>
        </w:rPr>
        <w:t xml:space="preserve">
      "3) жылжымайтын мүліктің бірыңғай мемлекеттік кадастрының цифрлық жүйесі – жүргізу тәртібі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цифрлық жүйе;";</w:t>
      </w:r>
    </w:p>
    <w:bookmarkEnd w:id="4"/>
    <w:bookmarkStart w:name="z12" w:id="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
    <w:bookmarkStart w:name="z13" w:id="6"/>
    <w:p>
      <w:pPr>
        <w:spacing w:after="0"/>
        <w:ind w:left="0"/>
        <w:jc w:val="both"/>
      </w:pPr>
      <w:r>
        <w:rPr>
          <w:rFonts w:ascii="Times New Roman"/>
          <w:b w:val="false"/>
          <w:i w:val="false"/>
          <w:color w:val="000000"/>
          <w:sz w:val="28"/>
        </w:rPr>
        <w:t>
      "4) мемлекеттік жер кадастры – Қазақстан Республикасы жерiнiң табиғи және шаруашылық жағдайы, жер учаскелерiнiң орналасқан жерi, нысаналы пайдаланылуы, мөлшерi мен шекарасы, олардың сапалық сипаттамасы, санитариялық қорғау аймақтары, жер пайдаланудың есепке алынуы және жер учаскелерiнiң кадастрлық құны туралы мәлiметтердiң, өзге де қажеттi мәлiметтердiң жүйесi.";</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"7. Мемлекеттік корпорация бес жұмыс күні ішінде жер қатынастары жөніндегі уәкілетті органға резервте қалдырылатын жер учаскелері бойынша мәліметтерді, сондай-ақ жылжымайтын мүліктің бірыңғай мемлекеттік кадастрының цифрлық жүйесінен олардың орналасқан жерінің ахуалдық схемасын ұсынады.";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"18. Жергілікті атқарушы органның жерді резервке қою туралы шешімінің көшірмесі ол қабылданған күннен бастап 7 (жеті) жұмыс күні ішінде мемлекеттік органдарға және Мемлекеттік корпорацияға оны 3 (үш) жұмыс күні ішінде жылжымайтын мүліктің бірыңғай мемлекеттік кадастрының цифрлық жүйесіне енгізу үшін жіберіледі.";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"21. Жерлерді резервке қою жөніндегі іс-қимылды тоқтату туралы шешімнің көшірмесі ол қабылданған күннен бастап 7 (жеті) жұмыс күні ішінде жылжымайтын мүліктің бірыңғай мемлекеттік кадастрының цифрлық жүйесінен резервке қойылған жерлер туралы мәліметтерді 3 (үш) жұмыс күні ішінде алып тастау үшін Мемлекеттік корпорацияға жіберіледі.".</w:t>
      </w:r>
    </w:p>
    <w:bookmarkEnd w:id="9"/>
    <w:bookmarkStart w:name="z20" w:id="10"/>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Жер ресурстарын басқару комитеті заңнамада белгіленген тәртіппен: </w:t>
      </w:r>
    </w:p>
    <w:bookmarkEnd w:id="10"/>
    <w:bookmarkStart w:name="z21"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22"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12"/>
    <w:bookmarkStart w:name="z23"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24" w:id="14"/>
    <w:p>
      <w:pPr>
        <w:spacing w:after="0"/>
        <w:ind w:left="0"/>
        <w:jc w:val="both"/>
      </w:pPr>
      <w:r>
        <w:rPr>
          <w:rFonts w:ascii="Times New Roman"/>
          <w:b w:val="false"/>
          <w:i w:val="false"/>
          <w:color w:val="000000"/>
          <w:sz w:val="28"/>
        </w:rPr>
        <w:t>
      4. Осы бұйрық 2026 жылғы 1 шілдеден бастап соң қолданысқа енгізілетін алтыншы абзацты қоспағанда, 2026 жылғы 11 шілдеден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